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B2" w:rsidRDefault="005F09B2" w:rsidP="005F09B2">
      <w:pPr>
        <w:rPr>
          <w:b/>
        </w:rPr>
      </w:pPr>
    </w:p>
    <w:p w:rsidR="00BB3C31" w:rsidRDefault="00BB3C31" w:rsidP="005F09B2">
      <w:pPr>
        <w:rPr>
          <w:b/>
        </w:rPr>
      </w:pPr>
    </w:p>
    <w:p w:rsidR="00BB3C31" w:rsidRDefault="00BB3C31" w:rsidP="005F09B2">
      <w:pPr>
        <w:rPr>
          <w:b/>
        </w:rPr>
      </w:pPr>
    </w:p>
    <w:p w:rsidR="00BB3C31" w:rsidRDefault="00BB3C31" w:rsidP="00BB3C31">
      <w:pPr>
        <w:pStyle w:val="Encabezado"/>
        <w:jc w:val="center"/>
      </w:pPr>
    </w:p>
    <w:p w:rsidR="00BB3C31" w:rsidRDefault="00BB3C31" w:rsidP="005F09B2">
      <w:pPr>
        <w:rPr>
          <w:b/>
        </w:rPr>
      </w:pPr>
    </w:p>
    <w:p w:rsidR="00BB3C31" w:rsidRDefault="00BB3C31" w:rsidP="005F09B2">
      <w:pPr>
        <w:rPr>
          <w:b/>
        </w:rPr>
      </w:pPr>
    </w:p>
    <w:p w:rsidR="00BB3C31" w:rsidRDefault="00BB3C31" w:rsidP="005F09B2">
      <w:pPr>
        <w:rPr>
          <w:b/>
        </w:rPr>
      </w:pPr>
    </w:p>
    <w:p w:rsidR="00BB3C31" w:rsidRDefault="00BB3C31" w:rsidP="00BB3C31">
      <w:pPr>
        <w:jc w:val="center"/>
        <w:rPr>
          <w:b/>
        </w:rPr>
      </w:pPr>
      <w:r>
        <w:rPr>
          <w:b/>
        </w:rPr>
        <w:t xml:space="preserve">INFORME SEMESTRAL DE PETICIONES, QUEJAS, RECLAMOS, </w:t>
      </w:r>
    </w:p>
    <w:p w:rsidR="00BB3C31" w:rsidRDefault="00BB3C31" w:rsidP="00BB3C31">
      <w:pPr>
        <w:jc w:val="center"/>
        <w:rPr>
          <w:b/>
        </w:rPr>
      </w:pPr>
      <w:r>
        <w:rPr>
          <w:b/>
        </w:rPr>
        <w:t>DENUNCIAS Y FELICITACIONES</w:t>
      </w:r>
    </w:p>
    <w:p w:rsidR="00BB3C31" w:rsidRDefault="00BB3C31" w:rsidP="005F09B2">
      <w:pPr>
        <w:rPr>
          <w:b/>
        </w:rPr>
      </w:pPr>
    </w:p>
    <w:p w:rsidR="00BB3C31" w:rsidRDefault="00BB3C31" w:rsidP="005F09B2">
      <w:pPr>
        <w:rPr>
          <w:b/>
        </w:rPr>
      </w:pPr>
    </w:p>
    <w:p w:rsidR="00BB3C31" w:rsidRDefault="00BB3C31" w:rsidP="005F09B2">
      <w:pPr>
        <w:rPr>
          <w:b/>
        </w:rPr>
      </w:pPr>
    </w:p>
    <w:p w:rsidR="00BB3C31" w:rsidRDefault="00FF3679" w:rsidP="00BB3C31">
      <w:pPr>
        <w:jc w:val="center"/>
        <w:rPr>
          <w:b/>
        </w:rPr>
      </w:pPr>
      <w:r>
        <w:rPr>
          <w:b/>
        </w:rPr>
        <w:t>SEGUNDO</w:t>
      </w:r>
      <w:r w:rsidR="00B21F9C">
        <w:rPr>
          <w:b/>
        </w:rPr>
        <w:t xml:space="preserve"> </w:t>
      </w:r>
      <w:r w:rsidR="006E16E9">
        <w:rPr>
          <w:b/>
        </w:rPr>
        <w:t xml:space="preserve"> </w:t>
      </w:r>
      <w:r w:rsidR="00BB3C31">
        <w:rPr>
          <w:b/>
        </w:rPr>
        <w:t xml:space="preserve">SEMESTRE </w:t>
      </w:r>
      <w:r w:rsidR="00B21F9C">
        <w:rPr>
          <w:b/>
        </w:rPr>
        <w:t xml:space="preserve"> </w:t>
      </w:r>
      <w:r w:rsidR="00C222A2">
        <w:rPr>
          <w:b/>
        </w:rPr>
        <w:t>2020</w:t>
      </w:r>
    </w:p>
    <w:p w:rsidR="00BB3C31" w:rsidRDefault="00BB3C31" w:rsidP="00BB3C31">
      <w:pPr>
        <w:jc w:val="center"/>
        <w:rPr>
          <w:b/>
        </w:rPr>
      </w:pPr>
    </w:p>
    <w:p w:rsidR="00BB3C31" w:rsidRDefault="00BB3C31" w:rsidP="00BB3C31">
      <w:pPr>
        <w:jc w:val="center"/>
        <w:rPr>
          <w:b/>
        </w:rPr>
      </w:pPr>
    </w:p>
    <w:p w:rsidR="00BB3C31" w:rsidRDefault="00BB3C31" w:rsidP="00BB3C31">
      <w:pPr>
        <w:jc w:val="center"/>
        <w:rPr>
          <w:b/>
        </w:rPr>
      </w:pPr>
    </w:p>
    <w:p w:rsidR="00BB3C31" w:rsidRDefault="00BB3C31" w:rsidP="00BB3C31">
      <w:pPr>
        <w:jc w:val="center"/>
        <w:rPr>
          <w:b/>
        </w:rPr>
      </w:pPr>
    </w:p>
    <w:p w:rsidR="00BB3C31" w:rsidRDefault="00BB3C31" w:rsidP="00BB3C31">
      <w:pPr>
        <w:jc w:val="center"/>
        <w:rPr>
          <w:b/>
        </w:rPr>
      </w:pPr>
    </w:p>
    <w:p w:rsidR="00BB3C31" w:rsidRDefault="00BB3C31" w:rsidP="00BB3C31">
      <w:pPr>
        <w:jc w:val="center"/>
        <w:rPr>
          <w:b/>
        </w:rPr>
      </w:pPr>
    </w:p>
    <w:p w:rsidR="00BB3C31" w:rsidRDefault="00BB3C31" w:rsidP="004158DE">
      <w:pPr>
        <w:rPr>
          <w:b/>
        </w:rPr>
      </w:pPr>
    </w:p>
    <w:p w:rsidR="00BB3C31" w:rsidRDefault="00BB3C31" w:rsidP="00BB3C31">
      <w:pPr>
        <w:jc w:val="center"/>
        <w:rPr>
          <w:b/>
        </w:rPr>
      </w:pPr>
    </w:p>
    <w:p w:rsidR="00BB3C31" w:rsidRDefault="00FF3679" w:rsidP="00BB3C31">
      <w:pPr>
        <w:jc w:val="center"/>
        <w:rPr>
          <w:b/>
        </w:rPr>
      </w:pPr>
      <w:r>
        <w:rPr>
          <w:b/>
        </w:rPr>
        <w:t>Medellín, Enero   de 2021</w:t>
      </w:r>
    </w:p>
    <w:p w:rsidR="004158DE" w:rsidRDefault="004158DE" w:rsidP="00A41E18">
      <w:pPr>
        <w:rPr>
          <w:b/>
        </w:rPr>
      </w:pPr>
    </w:p>
    <w:p w:rsidR="00A41E18" w:rsidRDefault="00A41E18" w:rsidP="00A41E18">
      <w:pPr>
        <w:rPr>
          <w:b/>
        </w:rPr>
      </w:pPr>
    </w:p>
    <w:p w:rsidR="00A41E18" w:rsidRDefault="00A41E18" w:rsidP="00A41E18">
      <w:pPr>
        <w:rPr>
          <w:b/>
        </w:rPr>
      </w:pPr>
    </w:p>
    <w:p w:rsidR="00A41E18" w:rsidRDefault="00A41E18" w:rsidP="00A41E18">
      <w:pPr>
        <w:rPr>
          <w:b/>
        </w:rPr>
      </w:pPr>
    </w:p>
    <w:p w:rsidR="00A41E18" w:rsidRDefault="00A41E18" w:rsidP="00A41E18">
      <w:pPr>
        <w:rPr>
          <w:b/>
        </w:rPr>
      </w:pPr>
    </w:p>
    <w:p w:rsidR="00DB7644" w:rsidRDefault="00DB7644" w:rsidP="00BB3C31">
      <w:pPr>
        <w:jc w:val="center"/>
        <w:rPr>
          <w:b/>
        </w:rPr>
      </w:pPr>
    </w:p>
    <w:p w:rsidR="00DB7644" w:rsidRDefault="00DB7644" w:rsidP="004158DE">
      <w:pPr>
        <w:rPr>
          <w:b/>
        </w:rPr>
      </w:pPr>
    </w:p>
    <w:p w:rsidR="00D14211" w:rsidRDefault="00D14211" w:rsidP="004158DE">
      <w:pPr>
        <w:rPr>
          <w:b/>
        </w:rPr>
      </w:pPr>
    </w:p>
    <w:p w:rsidR="00A7621C" w:rsidRDefault="00DB7644" w:rsidP="005F09B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INTRODU</w:t>
      </w:r>
      <w:r w:rsidR="005F09B2" w:rsidRPr="00E874A6">
        <w:rPr>
          <w:b/>
        </w:rPr>
        <w:t xml:space="preserve">CCIÓN </w:t>
      </w:r>
    </w:p>
    <w:p w:rsidR="005F09B2" w:rsidRDefault="005F09B2" w:rsidP="005F09B2"/>
    <w:p w:rsidR="005F09B2" w:rsidRDefault="005F09B2" w:rsidP="005F09B2">
      <w:pPr>
        <w:jc w:val="both"/>
      </w:pPr>
      <w:r>
        <w:t>La Oficina Aseso</w:t>
      </w:r>
      <w:r w:rsidR="004158DE">
        <w:t>ra de Control Inter</w:t>
      </w:r>
      <w:r w:rsidR="00172F87">
        <w:t xml:space="preserve">no de LA ESE HOSPITAL CARISMA; en </w:t>
      </w:r>
      <w:r>
        <w:t xml:space="preserve">cumplimiento a los lineamientos establecidos en el artículo 76 de la Ley 1474 del 12 de julio de 2011 y con el fin de garantizar los principios de trasparencia, eficacia y celeridad de las actuaciones administrativas, presenta el informe de seguimiento y evaluación al tratamiento de las peticiones, quejas, reclamos, denuncias y felicitaciones que la ciudadanía interpone ante la Entidad, recibidas durante el </w:t>
      </w:r>
      <w:r w:rsidR="00FF3679">
        <w:t xml:space="preserve">segundo </w:t>
      </w:r>
      <w:r w:rsidR="00C222A2">
        <w:t xml:space="preserve"> </w:t>
      </w:r>
      <w:r w:rsidR="00B21F9C">
        <w:t xml:space="preserve"> semestre de </w:t>
      </w:r>
      <w:r w:rsidR="00C222A2">
        <w:t>2020</w:t>
      </w:r>
      <w:r>
        <w:t>.</w:t>
      </w:r>
    </w:p>
    <w:p w:rsidR="000F3369" w:rsidRDefault="000F3369" w:rsidP="005F09B2">
      <w:pPr>
        <w:jc w:val="both"/>
      </w:pPr>
    </w:p>
    <w:p w:rsidR="000F3369" w:rsidRDefault="00DC326A" w:rsidP="005F09B2">
      <w:pPr>
        <w:jc w:val="both"/>
      </w:pPr>
      <w:r>
        <w:t>La oficina de A</w:t>
      </w:r>
      <w:r w:rsidR="004158DE">
        <w:t xml:space="preserve">tención al </w:t>
      </w:r>
      <w:r>
        <w:t>U</w:t>
      </w:r>
      <w:r w:rsidR="004158DE">
        <w:t>suario</w:t>
      </w:r>
      <w:r>
        <w:t>, la cual pertenece a la S</w:t>
      </w:r>
      <w:r w:rsidR="004158DE">
        <w:t xml:space="preserve">ubdirección </w:t>
      </w:r>
      <w:r>
        <w:t>C</w:t>
      </w:r>
      <w:r w:rsidR="004158DE">
        <w:t>ientífica</w:t>
      </w:r>
      <w:r>
        <w:t xml:space="preserve"> y</w:t>
      </w:r>
      <w:r w:rsidR="005F09B2">
        <w:t xml:space="preserve"> co</w:t>
      </w:r>
      <w:r w:rsidR="006D1C5E">
        <w:t>mo</w:t>
      </w:r>
      <w:r w:rsidR="005F09B2">
        <w:t xml:space="preserve"> dependencia líder en el proceso, cuenta con diferentes herramientas (</w:t>
      </w:r>
      <w:r w:rsidR="009C7969">
        <w:t>página web, correo electrónico,</w:t>
      </w:r>
      <w:r w:rsidR="005F09B2">
        <w:t xml:space="preserve"> </w:t>
      </w:r>
      <w:r w:rsidR="004158DE">
        <w:t xml:space="preserve">atención </w:t>
      </w:r>
      <w:r w:rsidR="005F09B2">
        <w:t>presencial</w:t>
      </w:r>
      <w:r w:rsidR="009C7969">
        <w:t xml:space="preserve"> y</w:t>
      </w:r>
      <w:r w:rsidR="00A41E18">
        <w:t xml:space="preserve"> buzón de sugerencias</w:t>
      </w:r>
      <w:r w:rsidR="005F09B2">
        <w:t xml:space="preserve"> que permiten a la </w:t>
      </w:r>
      <w:r w:rsidR="000E48A7">
        <w:t>comunidad interponer quejas, reclamos, solicitudes de información, consultas, sugerencias, felicitaciones y denuncias, con el objeto que los líderes de los procesos y las diferentes dependencias emit</w:t>
      </w:r>
      <w:r w:rsidR="00172F87">
        <w:t xml:space="preserve">an una respuesta oportuna, </w:t>
      </w:r>
      <w:r w:rsidR="00FF3679">
        <w:t xml:space="preserve">para este segundo </w:t>
      </w:r>
      <w:r w:rsidR="00C222A2">
        <w:t xml:space="preserve">  semestre 2020</w:t>
      </w:r>
    </w:p>
    <w:p w:rsidR="000E48A7" w:rsidRDefault="000E48A7" w:rsidP="005F09B2">
      <w:pPr>
        <w:jc w:val="both"/>
      </w:pPr>
      <w:r>
        <w:t>El seguimiento y evaluación al tratamiento dado a las petici</w:t>
      </w:r>
      <w:r w:rsidR="00F523AB">
        <w:t>ones, se llevó a cabo teniendo e</w:t>
      </w:r>
      <w:r>
        <w:t>n cuenta los reportes generad</w:t>
      </w:r>
      <w:r w:rsidR="00A41E18">
        <w:t>os</w:t>
      </w:r>
      <w:r w:rsidR="009C7969">
        <w:t xml:space="preserve"> trimestralmente</w:t>
      </w:r>
      <w:r w:rsidR="00A41E18">
        <w:t xml:space="preserve"> por la oficina de </w:t>
      </w:r>
      <w:r w:rsidR="00A93569">
        <w:t>A</w:t>
      </w:r>
      <w:r w:rsidR="00A41E18">
        <w:t xml:space="preserve">tención </w:t>
      </w:r>
      <w:r w:rsidR="00A93569">
        <w:t>al U</w:t>
      </w:r>
      <w:r w:rsidR="00307DCF">
        <w:t>suario</w:t>
      </w:r>
      <w:r w:rsidR="00A41E18">
        <w:t xml:space="preserve">– </w:t>
      </w:r>
      <w:r w:rsidR="00A93569">
        <w:t>S</w:t>
      </w:r>
      <w:r w:rsidR="00A41E18">
        <w:t xml:space="preserve">ubdirección </w:t>
      </w:r>
      <w:r w:rsidR="00A93569">
        <w:t>C</w:t>
      </w:r>
      <w:r w:rsidR="00A41E18">
        <w:t>ientífica</w:t>
      </w:r>
      <w:r w:rsidR="00307DCF">
        <w:t>,</w:t>
      </w:r>
      <w:r w:rsidR="00A41E18">
        <w:t xml:space="preserve"> por medio de</w:t>
      </w:r>
      <w:r>
        <w:t xml:space="preserve"> las peticiones de la ciudadaní</w:t>
      </w:r>
      <w:r w:rsidR="001A548E">
        <w:t>a</w:t>
      </w:r>
      <w:r w:rsidR="00A93569">
        <w:t>,</w:t>
      </w:r>
      <w:r w:rsidR="001A548E">
        <w:t xml:space="preserve"> recibidas a través del buzón de sugerencia</w:t>
      </w:r>
      <w:r w:rsidR="00E35EDB">
        <w:t>s</w:t>
      </w:r>
      <w:r w:rsidR="001A548E">
        <w:t xml:space="preserve"> y de manera personalizada</w:t>
      </w:r>
      <w:r>
        <w:t>.</w:t>
      </w:r>
    </w:p>
    <w:p w:rsidR="000F3369" w:rsidRDefault="000F3369" w:rsidP="005F09B2">
      <w:pPr>
        <w:jc w:val="both"/>
      </w:pPr>
    </w:p>
    <w:p w:rsidR="00D14211" w:rsidRDefault="000E48A7" w:rsidP="005F09B2">
      <w:pPr>
        <w:jc w:val="both"/>
      </w:pPr>
      <w:r>
        <w:t>De igual forma, se verificó el tratamiento dado a las peticiones</w:t>
      </w:r>
      <w:r w:rsidR="00A41E18">
        <w:t xml:space="preserve"> en ejecución de la auditoría </w:t>
      </w:r>
      <w:r>
        <w:t>re</w:t>
      </w:r>
      <w:r w:rsidR="00A41E18">
        <w:t>alizada</w:t>
      </w:r>
      <w:r>
        <w:t xml:space="preserve"> a los procesos y dependencias, de conformidad con el programa anual de auditorías, </w:t>
      </w:r>
      <w:r w:rsidR="00F523AB">
        <w:t xml:space="preserve">programado y </w:t>
      </w:r>
      <w:r>
        <w:t>a</w:t>
      </w:r>
      <w:r w:rsidR="004158DE">
        <w:t>probado</w:t>
      </w:r>
      <w:r w:rsidR="00F523AB">
        <w:t>, para la vigencia 2020</w:t>
      </w:r>
    </w:p>
    <w:p w:rsidR="000F3369" w:rsidRDefault="000F3369" w:rsidP="005F09B2">
      <w:pPr>
        <w:jc w:val="both"/>
      </w:pPr>
    </w:p>
    <w:p w:rsidR="000F3369" w:rsidRDefault="000F3369" w:rsidP="005F09B2">
      <w:pPr>
        <w:jc w:val="both"/>
      </w:pPr>
    </w:p>
    <w:p w:rsidR="000F3369" w:rsidRDefault="000F3369" w:rsidP="005F09B2">
      <w:pPr>
        <w:jc w:val="both"/>
      </w:pPr>
    </w:p>
    <w:p w:rsidR="000F3369" w:rsidRDefault="000F3369" w:rsidP="005F09B2">
      <w:pPr>
        <w:jc w:val="both"/>
      </w:pPr>
    </w:p>
    <w:p w:rsidR="000F3369" w:rsidRDefault="000F3369" w:rsidP="005F09B2">
      <w:pPr>
        <w:jc w:val="both"/>
      </w:pPr>
    </w:p>
    <w:p w:rsidR="000F3369" w:rsidRDefault="000F3369" w:rsidP="005F09B2">
      <w:pPr>
        <w:jc w:val="both"/>
      </w:pPr>
    </w:p>
    <w:p w:rsidR="000F3369" w:rsidRDefault="000F3369" w:rsidP="005F09B2">
      <w:pPr>
        <w:jc w:val="both"/>
      </w:pPr>
    </w:p>
    <w:p w:rsidR="000F3369" w:rsidRDefault="000F3369" w:rsidP="005F09B2">
      <w:pPr>
        <w:jc w:val="both"/>
      </w:pPr>
    </w:p>
    <w:p w:rsidR="000F3369" w:rsidRPr="00D14211" w:rsidRDefault="000F3369" w:rsidP="005F09B2">
      <w:pPr>
        <w:jc w:val="both"/>
      </w:pPr>
    </w:p>
    <w:p w:rsidR="00D14211" w:rsidRPr="00E874A6" w:rsidRDefault="00D14211" w:rsidP="005F09B2">
      <w:pPr>
        <w:jc w:val="both"/>
        <w:rPr>
          <w:b/>
        </w:rPr>
      </w:pPr>
    </w:p>
    <w:p w:rsidR="000E48A7" w:rsidRPr="00E874A6" w:rsidRDefault="000E48A7" w:rsidP="000E48A7">
      <w:pPr>
        <w:pStyle w:val="Prrafodelista"/>
        <w:numPr>
          <w:ilvl w:val="0"/>
          <w:numId w:val="1"/>
        </w:numPr>
        <w:jc w:val="both"/>
        <w:rPr>
          <w:b/>
        </w:rPr>
      </w:pPr>
      <w:r w:rsidRPr="00E874A6">
        <w:rPr>
          <w:b/>
        </w:rPr>
        <w:t xml:space="preserve">OBJETO </w:t>
      </w:r>
    </w:p>
    <w:p w:rsidR="000E48A7" w:rsidRDefault="000E48A7" w:rsidP="000E48A7">
      <w:pPr>
        <w:jc w:val="both"/>
      </w:pPr>
    </w:p>
    <w:p w:rsidR="00D14211" w:rsidRDefault="000E48A7" w:rsidP="005F09B2">
      <w:pPr>
        <w:jc w:val="both"/>
      </w:pPr>
      <w:r>
        <w:t xml:space="preserve">Realizar seguimiento y evaluación al tratamiento de </w:t>
      </w:r>
      <w:r w:rsidR="00E874A6">
        <w:t>las peticiones, quejas, reclamos, solicitudes de información, consultas, sugerencias, felicitaciones y denuncias por presuntos actos de cor</w:t>
      </w:r>
      <w:r w:rsidR="00F12E54">
        <w:t>rupción, que los ciudadanos y las</w:t>
      </w:r>
      <w:r w:rsidR="00E874A6">
        <w:t xml:space="preserve"> demás partes int</w:t>
      </w:r>
      <w:r w:rsidR="004158DE">
        <w:t>eresadas interponen ante la  ESE HOSPITAL CARISMA</w:t>
      </w:r>
      <w:r w:rsidR="00E874A6">
        <w:t>,  con el fin de determinar el c</w:t>
      </w:r>
      <w:r w:rsidR="00D14211">
        <w:t>umplimiento en la oportunidad</w:t>
      </w:r>
      <w:r w:rsidR="00E874A6">
        <w:t xml:space="preserve"> </w:t>
      </w:r>
      <w:r w:rsidR="00D14211">
        <w:t xml:space="preserve">de </w:t>
      </w:r>
      <w:r w:rsidR="00E874A6">
        <w:t xml:space="preserve">las respuestas y </w:t>
      </w:r>
      <w:r w:rsidR="006D1C5E">
        <w:t>e</w:t>
      </w:r>
      <w:r w:rsidR="00E874A6">
        <w:t>fectuar las recomendaciones que sean necesarias a la Alta Dirección y a los responsables de los procesos que con</w:t>
      </w:r>
      <w:r w:rsidR="004158DE">
        <w:t xml:space="preserve"> </w:t>
      </w:r>
      <w:r w:rsidR="00E874A6">
        <w:t>lleven al mej</w:t>
      </w:r>
      <w:r w:rsidR="004158DE">
        <w:t>oramiento continuo de la ESE</w:t>
      </w:r>
      <w:r w:rsidR="00E874A6">
        <w:t>.</w:t>
      </w:r>
    </w:p>
    <w:p w:rsidR="00D14211" w:rsidRDefault="00D14211" w:rsidP="005F09B2">
      <w:pPr>
        <w:jc w:val="both"/>
      </w:pPr>
    </w:p>
    <w:p w:rsidR="00E874A6" w:rsidRDefault="00E874A6" w:rsidP="00E874A6">
      <w:pPr>
        <w:pStyle w:val="Prrafodelista"/>
        <w:numPr>
          <w:ilvl w:val="0"/>
          <w:numId w:val="1"/>
        </w:numPr>
        <w:jc w:val="both"/>
        <w:rPr>
          <w:b/>
        </w:rPr>
      </w:pPr>
      <w:r w:rsidRPr="00E874A6">
        <w:rPr>
          <w:b/>
        </w:rPr>
        <w:t>ALCANCE</w:t>
      </w:r>
    </w:p>
    <w:p w:rsidR="00E874A6" w:rsidRDefault="00E874A6" w:rsidP="00E874A6">
      <w:pPr>
        <w:jc w:val="both"/>
        <w:rPr>
          <w:b/>
        </w:rPr>
      </w:pPr>
    </w:p>
    <w:p w:rsidR="00E874A6" w:rsidRDefault="00E874A6" w:rsidP="00E874A6">
      <w:pPr>
        <w:jc w:val="both"/>
      </w:pPr>
      <w:r>
        <w:t xml:space="preserve">Peticiones, quejas, reclamos, solicitudes de información, consultas, sugerencias, felicitaciones y denuncias por presuntos actos de corrupción interpuestas por la ciudadanía </w:t>
      </w:r>
      <w:r w:rsidR="004158DE">
        <w:t>ante la ESE HOSPITAL CARISMA</w:t>
      </w:r>
      <w:r w:rsidR="00FD6E7B">
        <w:t>,</w:t>
      </w:r>
      <w:r w:rsidR="004158DE">
        <w:t xml:space="preserve"> </w:t>
      </w:r>
      <w:r>
        <w:t>durante e</w:t>
      </w:r>
      <w:r w:rsidR="007A56F0">
        <w:t>l</w:t>
      </w:r>
      <w:r w:rsidR="00B21F9C">
        <w:t xml:space="preserve"> </w:t>
      </w:r>
      <w:r w:rsidR="00F523AB">
        <w:t xml:space="preserve">periodo </w:t>
      </w:r>
      <w:r w:rsidR="00FF3679">
        <w:t xml:space="preserve">comprendido entre el 01 de julio </w:t>
      </w:r>
      <w:r w:rsidR="00F523AB">
        <w:t xml:space="preserve">  hasta el 3</w:t>
      </w:r>
      <w:r w:rsidR="00FF3679">
        <w:t xml:space="preserve">1 de diciembre </w:t>
      </w:r>
      <w:r w:rsidR="00F523AB">
        <w:t xml:space="preserve">  de 2020</w:t>
      </w:r>
    </w:p>
    <w:p w:rsidR="00D14211" w:rsidRDefault="00D14211" w:rsidP="00E874A6">
      <w:pPr>
        <w:jc w:val="both"/>
      </w:pPr>
    </w:p>
    <w:p w:rsidR="00E874A6" w:rsidRDefault="00E874A6" w:rsidP="00E874A6">
      <w:pPr>
        <w:pStyle w:val="Prrafodelista"/>
        <w:numPr>
          <w:ilvl w:val="0"/>
          <w:numId w:val="1"/>
        </w:numPr>
        <w:jc w:val="both"/>
        <w:rPr>
          <w:b/>
        </w:rPr>
      </w:pPr>
      <w:r>
        <w:rPr>
          <w:b/>
        </w:rPr>
        <w:t>NORMATIVIDAD</w:t>
      </w:r>
    </w:p>
    <w:p w:rsidR="00E874A6" w:rsidRDefault="00E874A6" w:rsidP="00E874A6">
      <w:pPr>
        <w:jc w:val="both"/>
        <w:rPr>
          <w:b/>
        </w:rPr>
      </w:pPr>
    </w:p>
    <w:p w:rsidR="00E874A6" w:rsidRDefault="00E874A6" w:rsidP="00E874A6">
      <w:pPr>
        <w:pStyle w:val="Prrafodelista"/>
        <w:numPr>
          <w:ilvl w:val="0"/>
          <w:numId w:val="3"/>
        </w:numPr>
        <w:jc w:val="both"/>
      </w:pPr>
      <w:r>
        <w:t xml:space="preserve">Constitución Política de Colombia - Art. 23 “Toda persona tiene derecho a presentar peticiones respetuosas a las autoridades por motivos de interés general o particular y a obtener pronta resolución. </w:t>
      </w:r>
    </w:p>
    <w:p w:rsidR="00E874A6" w:rsidRDefault="00E874A6" w:rsidP="00E874A6">
      <w:pPr>
        <w:pStyle w:val="Prrafodelista"/>
        <w:jc w:val="both"/>
      </w:pPr>
    </w:p>
    <w:p w:rsidR="00E874A6" w:rsidRDefault="00E874A6" w:rsidP="00E874A6">
      <w:pPr>
        <w:pStyle w:val="Prrafodelista"/>
        <w:numPr>
          <w:ilvl w:val="0"/>
          <w:numId w:val="3"/>
        </w:numPr>
        <w:jc w:val="both"/>
      </w:pPr>
      <w:r>
        <w:t xml:space="preserve">Ley 87 de 1993 “Por la cual se establecen normas para el ejercicio del control interno en las entidades y organismos del estado y se dictan otras disposiciones”, artículo 12 literal i) “Evaluar y verificar la aplicación de los mecanismos de participación ciudadana que, en desarrollo del mandato constitucional y legal, diseñe la entidad correspondiente”. </w:t>
      </w:r>
    </w:p>
    <w:p w:rsidR="00E874A6" w:rsidRDefault="00E874A6" w:rsidP="00E874A6">
      <w:pPr>
        <w:pStyle w:val="Prrafodelista"/>
      </w:pPr>
    </w:p>
    <w:p w:rsidR="000F3369" w:rsidRDefault="000F3369" w:rsidP="00E874A6">
      <w:pPr>
        <w:pStyle w:val="Prrafodelista"/>
      </w:pPr>
    </w:p>
    <w:p w:rsidR="00E874A6" w:rsidRDefault="00E874A6" w:rsidP="00E874A6">
      <w:pPr>
        <w:pStyle w:val="Prrafodelista"/>
        <w:numPr>
          <w:ilvl w:val="0"/>
          <w:numId w:val="3"/>
        </w:numPr>
        <w:jc w:val="both"/>
      </w:pPr>
      <w:r>
        <w:t xml:space="preserve">Ley 1474 de 2011, Artículo 76, el cual establece que: “La Oficina de Control Interno deberá vigilar que la atención se preste de acuerdo con las normas legales vigentes y rendirá a la Administración de la entidad un informe semestral sobre el particular”. </w:t>
      </w:r>
    </w:p>
    <w:p w:rsidR="00E874A6" w:rsidRDefault="00E874A6" w:rsidP="00E874A6">
      <w:pPr>
        <w:pStyle w:val="Prrafodelista"/>
      </w:pPr>
    </w:p>
    <w:p w:rsidR="004043ED" w:rsidRDefault="00E874A6" w:rsidP="004043ED">
      <w:pPr>
        <w:pStyle w:val="Prrafodelista"/>
        <w:numPr>
          <w:ilvl w:val="0"/>
          <w:numId w:val="3"/>
        </w:numPr>
        <w:jc w:val="both"/>
      </w:pPr>
      <w:r>
        <w:lastRenderedPageBreak/>
        <w:t>Ley 1755 del 30 de junio de 2015 “Por medio de la cual se regula el derecho fundamental de petición y se sustituye un título del código de Procedimiento Administrativo y de lo Contencioso Administrativo”.</w:t>
      </w:r>
    </w:p>
    <w:p w:rsidR="008B55B4" w:rsidRDefault="008B55B4" w:rsidP="008B55B4">
      <w:pPr>
        <w:pStyle w:val="Prrafodelista"/>
      </w:pPr>
    </w:p>
    <w:p w:rsidR="008B55B4" w:rsidRPr="008B55B4" w:rsidRDefault="008B55B4" w:rsidP="008B55B4">
      <w:pPr>
        <w:pStyle w:val="Prrafodelista"/>
        <w:jc w:val="both"/>
      </w:pPr>
    </w:p>
    <w:p w:rsidR="004043ED" w:rsidRPr="008B55B4" w:rsidRDefault="004043ED" w:rsidP="004043ED">
      <w:pPr>
        <w:pStyle w:val="Prrafodelista"/>
        <w:numPr>
          <w:ilvl w:val="0"/>
          <w:numId w:val="1"/>
        </w:numPr>
        <w:jc w:val="both"/>
        <w:rPr>
          <w:b/>
        </w:rPr>
      </w:pPr>
      <w:r w:rsidRPr="004043ED">
        <w:rPr>
          <w:b/>
        </w:rPr>
        <w:t>METODOLOGÍA</w:t>
      </w:r>
    </w:p>
    <w:p w:rsidR="00AE4289" w:rsidRDefault="004043ED" w:rsidP="004043ED">
      <w:pPr>
        <w:jc w:val="both"/>
      </w:pPr>
      <w:r>
        <w:t>Se verificó la i</w:t>
      </w:r>
      <w:r w:rsidR="004158DE">
        <w:t xml:space="preserve">nformación emitida por la oficina de atención al usuario –subdirección </w:t>
      </w:r>
      <w:r w:rsidR="00A41E18">
        <w:t xml:space="preserve">   </w:t>
      </w:r>
      <w:r w:rsidR="004158DE">
        <w:t>científica</w:t>
      </w:r>
      <w:r>
        <w:t xml:space="preserve">, que da cuenta de la cantidad de PQRDF interpuestas dentro del periodo ya referenciado y la oportunidad en la respuesta a las mismas, atendiendo la </w:t>
      </w:r>
      <w:r w:rsidR="001A548E">
        <w:t xml:space="preserve">información consignada  en el  buzón de sugerencias </w:t>
      </w:r>
      <w:r w:rsidR="000F1714">
        <w:t xml:space="preserve">y </w:t>
      </w:r>
      <w:r w:rsidR="00A41E18">
        <w:t xml:space="preserve"> de manera </w:t>
      </w:r>
      <w:r w:rsidR="001A548E">
        <w:t>personalizada al funcionario responsable</w:t>
      </w:r>
      <w:r>
        <w:t>.</w:t>
      </w:r>
    </w:p>
    <w:p w:rsidR="00F64F11" w:rsidRPr="008B55B4" w:rsidRDefault="004043ED" w:rsidP="00F64F11">
      <w:pPr>
        <w:pStyle w:val="Prrafodelista"/>
        <w:numPr>
          <w:ilvl w:val="0"/>
          <w:numId w:val="1"/>
        </w:numPr>
        <w:jc w:val="both"/>
        <w:rPr>
          <w:b/>
        </w:rPr>
      </w:pPr>
      <w:r w:rsidRPr="00F64F11">
        <w:rPr>
          <w:b/>
        </w:rPr>
        <w:t xml:space="preserve">RESULTADOS DEL SEGUIMIENTO Y </w:t>
      </w:r>
      <w:r w:rsidR="00A41E18">
        <w:rPr>
          <w:b/>
        </w:rPr>
        <w:t>EVALUACIÓ</w:t>
      </w:r>
      <w:r w:rsidR="00F64F11" w:rsidRPr="00F64F11">
        <w:rPr>
          <w:b/>
        </w:rPr>
        <w:t xml:space="preserve">N </w:t>
      </w:r>
    </w:p>
    <w:p w:rsidR="00F64F11" w:rsidRDefault="001A548E" w:rsidP="00F64F11">
      <w:pPr>
        <w:jc w:val="both"/>
      </w:pPr>
      <w:r>
        <w:t xml:space="preserve">De acuerdo con los datos </w:t>
      </w:r>
      <w:r w:rsidR="00F64F11">
        <w:t xml:space="preserve"> gene</w:t>
      </w:r>
      <w:r>
        <w:t xml:space="preserve">rados a través de los canales de la información </w:t>
      </w:r>
      <w:r w:rsidR="00F64F11">
        <w:t>para el control de las PQRDF y del informe consolidado por parte</w:t>
      </w:r>
      <w:r>
        <w:t xml:space="preserve">  de la oficina de </w:t>
      </w:r>
      <w:r w:rsidR="00A93569">
        <w:t>A</w:t>
      </w:r>
      <w:r>
        <w:t xml:space="preserve">tención  al  </w:t>
      </w:r>
      <w:r w:rsidR="00A93569">
        <w:t>U</w:t>
      </w:r>
      <w:r>
        <w:t>suario  de la ESE HOSPITAL CARISMA</w:t>
      </w:r>
      <w:r w:rsidR="00F64F11">
        <w:t xml:space="preserve">, durante el </w:t>
      </w:r>
      <w:r w:rsidR="00FF3679">
        <w:t xml:space="preserve">segundo </w:t>
      </w:r>
      <w:r w:rsidR="00F64F11">
        <w:t xml:space="preserve"> semestre de </w:t>
      </w:r>
      <w:r w:rsidR="00AE4289">
        <w:t>2020</w:t>
      </w:r>
      <w:r w:rsidR="00A41E18">
        <w:t xml:space="preserve"> se </w:t>
      </w:r>
      <w:r w:rsidR="00E35EDB">
        <w:t>registraron</w:t>
      </w:r>
      <w:r w:rsidR="00F64F11">
        <w:t xml:space="preserve"> un total de </w:t>
      </w:r>
      <w:r w:rsidR="00F90958">
        <w:t xml:space="preserve">67 </w:t>
      </w:r>
      <w:r w:rsidR="000F1714">
        <w:t>solicitudes</w:t>
      </w:r>
      <w:r w:rsidR="00F64F11">
        <w:t>.</w:t>
      </w:r>
    </w:p>
    <w:p w:rsidR="00A047C6" w:rsidRDefault="00F64F11" w:rsidP="00F64F11">
      <w:pPr>
        <w:jc w:val="both"/>
      </w:pPr>
      <w:r>
        <w:t>A continuación, se presentan las estadísticas y el análisis detallado de la información reportada a la Oficina Asesora d</w:t>
      </w:r>
      <w:r w:rsidR="00FD6E7B">
        <w:t xml:space="preserve">e Control Interno de la </w:t>
      </w:r>
      <w:r w:rsidR="00A93569">
        <w:t>e</w:t>
      </w:r>
      <w:r w:rsidR="00FD6E7B">
        <w:t>ntidad.</w:t>
      </w:r>
    </w:p>
    <w:p w:rsidR="00FD6E7B" w:rsidRDefault="00FD6E7B" w:rsidP="00F64F11">
      <w:pPr>
        <w:jc w:val="both"/>
      </w:pPr>
    </w:p>
    <w:p w:rsidR="00F64F11" w:rsidRPr="009C7969" w:rsidRDefault="00E53B1F" w:rsidP="00F64F11">
      <w:pPr>
        <w:pStyle w:val="Prrafodelista"/>
        <w:numPr>
          <w:ilvl w:val="1"/>
          <w:numId w:val="1"/>
        </w:numPr>
        <w:jc w:val="both"/>
        <w:rPr>
          <w:b/>
          <w:sz w:val="24"/>
        </w:rPr>
      </w:pPr>
      <w:r w:rsidRPr="009C7969">
        <w:rPr>
          <w:b/>
          <w:sz w:val="24"/>
        </w:rPr>
        <w:t>Consolidado de PQRDF</w:t>
      </w:r>
      <w:r w:rsidR="00F64F11" w:rsidRPr="009C7969">
        <w:rPr>
          <w:b/>
          <w:sz w:val="24"/>
        </w:rPr>
        <w:t xml:space="preserve"> recibidas durante el </w:t>
      </w:r>
      <w:r w:rsidR="005C6F51">
        <w:rPr>
          <w:b/>
          <w:sz w:val="24"/>
        </w:rPr>
        <w:t>Segundo</w:t>
      </w:r>
      <w:r w:rsidR="006D1C5E" w:rsidRPr="009C7969">
        <w:rPr>
          <w:b/>
          <w:sz w:val="24"/>
        </w:rPr>
        <w:t xml:space="preserve"> </w:t>
      </w:r>
      <w:r w:rsidR="005C6F51">
        <w:rPr>
          <w:b/>
          <w:sz w:val="24"/>
        </w:rPr>
        <w:t>semestre de 2020</w:t>
      </w:r>
    </w:p>
    <w:p w:rsidR="00F64F11" w:rsidRPr="009C7969" w:rsidRDefault="00F64F11" w:rsidP="00F64F11">
      <w:pPr>
        <w:pStyle w:val="Prrafodelista"/>
        <w:jc w:val="both"/>
        <w:rPr>
          <w:b/>
          <w:sz w:val="24"/>
        </w:rPr>
      </w:pPr>
    </w:p>
    <w:p w:rsidR="003325E0" w:rsidRDefault="00F64F11" w:rsidP="00F64F11">
      <w:pPr>
        <w:jc w:val="both"/>
      </w:pPr>
      <w:r>
        <w:t xml:space="preserve">La cantidad de </w:t>
      </w:r>
      <w:r w:rsidR="00E53B1F">
        <w:t>PQRDF</w:t>
      </w:r>
      <w:r>
        <w:t xml:space="preserve"> interpuestas durante el </w:t>
      </w:r>
      <w:r w:rsidR="005C6F51">
        <w:t>segundo</w:t>
      </w:r>
      <w:r w:rsidR="001D468E">
        <w:t xml:space="preserve"> semestre</w:t>
      </w:r>
      <w:r w:rsidR="005C6F51">
        <w:t xml:space="preserve"> de 2020</w:t>
      </w:r>
      <w:r>
        <w:t xml:space="preserve">, se discrimina de </w:t>
      </w:r>
      <w:r w:rsidR="003325E0">
        <w:t>la siguiente forma:</w:t>
      </w:r>
    </w:p>
    <w:p w:rsidR="00BB3C31" w:rsidRPr="008B55B4" w:rsidRDefault="00D57B19" w:rsidP="00F64F11">
      <w:pPr>
        <w:jc w:val="both"/>
        <w:rPr>
          <w14:textOutline w14:w="222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  <w:lang w:eastAsia="es-CO"/>
        </w:rPr>
        <w:drawing>
          <wp:inline distT="0" distB="0" distL="0" distR="0">
            <wp:extent cx="5546360" cy="2743200"/>
            <wp:effectExtent l="0" t="0" r="1651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1813"/>
        <w:gridCol w:w="2015"/>
        <w:gridCol w:w="2126"/>
      </w:tblGrid>
      <w:tr w:rsidR="003325E0" w:rsidTr="00D57B19">
        <w:tc>
          <w:tcPr>
            <w:tcW w:w="1813" w:type="dxa"/>
            <w:vMerge w:val="restart"/>
            <w:shd w:val="clear" w:color="auto" w:fill="DEEAF6" w:themeFill="accent1" w:themeFillTint="33"/>
          </w:tcPr>
          <w:p w:rsidR="003325E0" w:rsidRDefault="003325E0" w:rsidP="003325E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TIPO</w:t>
            </w:r>
          </w:p>
        </w:tc>
        <w:tc>
          <w:tcPr>
            <w:tcW w:w="2015" w:type="dxa"/>
            <w:shd w:val="clear" w:color="auto" w:fill="DEEAF6" w:themeFill="accent1" w:themeFillTint="33"/>
          </w:tcPr>
          <w:p w:rsidR="003325E0" w:rsidRDefault="00F90958" w:rsidP="003325E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3325E0">
              <w:rPr>
                <w:b/>
              </w:rPr>
              <w:t>° Trimestre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3325E0" w:rsidRDefault="00F90958" w:rsidP="003325E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3325E0">
              <w:rPr>
                <w:b/>
              </w:rPr>
              <w:t>° Trimestre</w:t>
            </w:r>
          </w:p>
        </w:tc>
      </w:tr>
      <w:tr w:rsidR="003325E0" w:rsidTr="00D57B19">
        <w:tc>
          <w:tcPr>
            <w:tcW w:w="1813" w:type="dxa"/>
            <w:vMerge/>
            <w:shd w:val="clear" w:color="auto" w:fill="DEEAF6" w:themeFill="accent1" w:themeFillTint="33"/>
          </w:tcPr>
          <w:p w:rsidR="003325E0" w:rsidRDefault="003325E0" w:rsidP="003325E0">
            <w:pPr>
              <w:jc w:val="center"/>
              <w:rPr>
                <w:b/>
              </w:rPr>
            </w:pPr>
          </w:p>
        </w:tc>
        <w:tc>
          <w:tcPr>
            <w:tcW w:w="2015" w:type="dxa"/>
            <w:shd w:val="clear" w:color="auto" w:fill="DEEAF6" w:themeFill="accent1" w:themeFillTint="33"/>
          </w:tcPr>
          <w:p w:rsidR="003325E0" w:rsidRDefault="003325E0" w:rsidP="003325E0">
            <w:pPr>
              <w:jc w:val="center"/>
              <w:rPr>
                <w:b/>
              </w:rPr>
            </w:pPr>
            <w:r>
              <w:rPr>
                <w:b/>
              </w:rPr>
              <w:t xml:space="preserve">Cantidad 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3325E0" w:rsidRDefault="003325E0" w:rsidP="003325E0">
            <w:pPr>
              <w:jc w:val="center"/>
              <w:rPr>
                <w:b/>
              </w:rPr>
            </w:pPr>
            <w:r>
              <w:rPr>
                <w:b/>
              </w:rPr>
              <w:t>Cantidad</w:t>
            </w:r>
          </w:p>
        </w:tc>
      </w:tr>
      <w:tr w:rsidR="003325E0" w:rsidTr="00E53B1F">
        <w:tc>
          <w:tcPr>
            <w:tcW w:w="1813" w:type="dxa"/>
          </w:tcPr>
          <w:p w:rsidR="003325E0" w:rsidRPr="003325E0" w:rsidRDefault="0013466C" w:rsidP="00F64F11">
            <w:pPr>
              <w:jc w:val="both"/>
            </w:pPr>
            <w:r>
              <w:t>Peticiones</w:t>
            </w:r>
          </w:p>
        </w:tc>
        <w:tc>
          <w:tcPr>
            <w:tcW w:w="2015" w:type="dxa"/>
          </w:tcPr>
          <w:p w:rsidR="003325E0" w:rsidRPr="003325E0" w:rsidRDefault="00F90958" w:rsidP="003325E0">
            <w:pPr>
              <w:jc w:val="center"/>
            </w:pPr>
            <w:r>
              <w:t>9</w:t>
            </w:r>
          </w:p>
        </w:tc>
        <w:tc>
          <w:tcPr>
            <w:tcW w:w="2126" w:type="dxa"/>
          </w:tcPr>
          <w:p w:rsidR="003325E0" w:rsidRPr="003325E0" w:rsidRDefault="00F90958" w:rsidP="003325E0">
            <w:pPr>
              <w:jc w:val="center"/>
            </w:pPr>
            <w:r>
              <w:t>24</w:t>
            </w:r>
          </w:p>
        </w:tc>
      </w:tr>
      <w:tr w:rsidR="003325E0" w:rsidTr="00E53B1F">
        <w:tc>
          <w:tcPr>
            <w:tcW w:w="1813" w:type="dxa"/>
          </w:tcPr>
          <w:p w:rsidR="003325E0" w:rsidRPr="003325E0" w:rsidRDefault="009402B3" w:rsidP="00F64F11">
            <w:pPr>
              <w:jc w:val="both"/>
            </w:pPr>
            <w:r>
              <w:t>Q</w:t>
            </w:r>
            <w:r w:rsidR="0063498D">
              <w:t>uejas</w:t>
            </w:r>
          </w:p>
        </w:tc>
        <w:tc>
          <w:tcPr>
            <w:tcW w:w="2015" w:type="dxa"/>
          </w:tcPr>
          <w:p w:rsidR="003325E0" w:rsidRPr="003325E0" w:rsidRDefault="00F90958" w:rsidP="003325E0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3325E0" w:rsidRPr="003325E0" w:rsidRDefault="0013466C" w:rsidP="003325E0">
            <w:pPr>
              <w:jc w:val="center"/>
            </w:pPr>
            <w:r>
              <w:t>5</w:t>
            </w:r>
          </w:p>
        </w:tc>
      </w:tr>
      <w:tr w:rsidR="003325E0" w:rsidTr="00E53B1F">
        <w:tc>
          <w:tcPr>
            <w:tcW w:w="1813" w:type="dxa"/>
          </w:tcPr>
          <w:p w:rsidR="003325E0" w:rsidRPr="003325E0" w:rsidRDefault="009402B3" w:rsidP="00F64F11">
            <w:pPr>
              <w:jc w:val="both"/>
            </w:pPr>
            <w:r>
              <w:t>Reclamos</w:t>
            </w:r>
          </w:p>
        </w:tc>
        <w:tc>
          <w:tcPr>
            <w:tcW w:w="2015" w:type="dxa"/>
          </w:tcPr>
          <w:p w:rsidR="003325E0" w:rsidRPr="003325E0" w:rsidRDefault="00F90958" w:rsidP="003325E0">
            <w:pPr>
              <w:jc w:val="center"/>
            </w:pPr>
            <w:r>
              <w:t>6</w:t>
            </w:r>
          </w:p>
        </w:tc>
        <w:tc>
          <w:tcPr>
            <w:tcW w:w="2126" w:type="dxa"/>
          </w:tcPr>
          <w:p w:rsidR="003325E0" w:rsidRPr="003325E0" w:rsidRDefault="00F90958" w:rsidP="003325E0">
            <w:pPr>
              <w:jc w:val="center"/>
            </w:pPr>
            <w:r>
              <w:t>4</w:t>
            </w:r>
          </w:p>
        </w:tc>
      </w:tr>
      <w:tr w:rsidR="003325E0" w:rsidTr="00E53B1F">
        <w:tc>
          <w:tcPr>
            <w:tcW w:w="1813" w:type="dxa"/>
          </w:tcPr>
          <w:p w:rsidR="003325E0" w:rsidRPr="003325E0" w:rsidRDefault="0013466C" w:rsidP="00F64F11">
            <w:pPr>
              <w:jc w:val="both"/>
            </w:pPr>
            <w:r>
              <w:t>Sugerencias</w:t>
            </w:r>
          </w:p>
        </w:tc>
        <w:tc>
          <w:tcPr>
            <w:tcW w:w="2015" w:type="dxa"/>
          </w:tcPr>
          <w:p w:rsidR="003325E0" w:rsidRPr="003325E0" w:rsidRDefault="00F90958" w:rsidP="003325E0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3325E0" w:rsidRPr="003325E0" w:rsidRDefault="00F90958" w:rsidP="003325E0">
            <w:pPr>
              <w:jc w:val="center"/>
            </w:pPr>
            <w:r>
              <w:t>3</w:t>
            </w:r>
          </w:p>
        </w:tc>
      </w:tr>
      <w:tr w:rsidR="003325E0" w:rsidTr="00E53B1F">
        <w:tc>
          <w:tcPr>
            <w:tcW w:w="1813" w:type="dxa"/>
          </w:tcPr>
          <w:p w:rsidR="003325E0" w:rsidRPr="003325E0" w:rsidRDefault="003325E0" w:rsidP="00F64F11">
            <w:pPr>
              <w:jc w:val="both"/>
            </w:pPr>
            <w:r w:rsidRPr="003325E0">
              <w:t>Felicitaciones</w:t>
            </w:r>
          </w:p>
        </w:tc>
        <w:tc>
          <w:tcPr>
            <w:tcW w:w="2015" w:type="dxa"/>
          </w:tcPr>
          <w:p w:rsidR="003325E0" w:rsidRPr="003325E0" w:rsidRDefault="00F90958" w:rsidP="003325E0">
            <w:pPr>
              <w:jc w:val="center"/>
            </w:pPr>
            <w:r>
              <w:t>8</w:t>
            </w:r>
          </w:p>
        </w:tc>
        <w:tc>
          <w:tcPr>
            <w:tcW w:w="2126" w:type="dxa"/>
          </w:tcPr>
          <w:p w:rsidR="003325E0" w:rsidRPr="003325E0" w:rsidRDefault="00F90958" w:rsidP="003325E0">
            <w:pPr>
              <w:jc w:val="center"/>
            </w:pPr>
            <w:r>
              <w:t>3</w:t>
            </w:r>
          </w:p>
        </w:tc>
      </w:tr>
      <w:tr w:rsidR="00E53B1F" w:rsidRPr="003325E0" w:rsidTr="00A93569">
        <w:trPr>
          <w:trHeight w:val="117"/>
        </w:trPr>
        <w:tc>
          <w:tcPr>
            <w:tcW w:w="1813" w:type="dxa"/>
          </w:tcPr>
          <w:p w:rsidR="00E53B1F" w:rsidRPr="00E53B1F" w:rsidRDefault="00E53B1F" w:rsidP="00E53B1F">
            <w:pPr>
              <w:jc w:val="center"/>
              <w:rPr>
                <w:b/>
              </w:rPr>
            </w:pPr>
            <w:r w:rsidRPr="00E53B1F">
              <w:rPr>
                <w:b/>
              </w:rPr>
              <w:t>Total</w:t>
            </w:r>
          </w:p>
        </w:tc>
        <w:tc>
          <w:tcPr>
            <w:tcW w:w="4141" w:type="dxa"/>
            <w:gridSpan w:val="2"/>
          </w:tcPr>
          <w:p w:rsidR="00E53B1F" w:rsidRPr="00E53B1F" w:rsidRDefault="00F90958" w:rsidP="00E53B1F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  <w:p w:rsidR="00E53B1F" w:rsidRPr="00E53B1F" w:rsidRDefault="00E53B1F" w:rsidP="00E53B1F">
            <w:pPr>
              <w:jc w:val="center"/>
              <w:rPr>
                <w:b/>
              </w:rPr>
            </w:pPr>
          </w:p>
        </w:tc>
      </w:tr>
    </w:tbl>
    <w:p w:rsidR="0040199F" w:rsidRDefault="0040199F" w:rsidP="00F64F11">
      <w:pPr>
        <w:jc w:val="both"/>
        <w:rPr>
          <w:b/>
        </w:rPr>
      </w:pPr>
    </w:p>
    <w:p w:rsidR="00D14211" w:rsidRDefault="003325E0" w:rsidP="00F64F11">
      <w:pPr>
        <w:jc w:val="both"/>
      </w:pPr>
      <w:r>
        <w:t xml:space="preserve">De acuerdo con lo anterior, se tiene que el tipo de requerimiento más representativo, durante el </w:t>
      </w:r>
      <w:r w:rsidR="005C6F51">
        <w:t xml:space="preserve">segundo </w:t>
      </w:r>
      <w:r w:rsidR="0030074A">
        <w:t xml:space="preserve"> </w:t>
      </w:r>
      <w:r w:rsidR="00752664">
        <w:t xml:space="preserve"> </w:t>
      </w:r>
      <w:r w:rsidR="00F5227A">
        <w:t xml:space="preserve"> </w:t>
      </w:r>
      <w:r w:rsidR="0030074A">
        <w:t>semestre de 2020</w:t>
      </w:r>
      <w:r w:rsidR="005C6F51">
        <w:t>, fueron las peticiones</w:t>
      </w:r>
      <w:r w:rsidR="00226B8B">
        <w:t xml:space="preserve">  </w:t>
      </w:r>
      <w:r>
        <w:t>que corresponden</w:t>
      </w:r>
      <w:r w:rsidR="005C6F51">
        <w:t xml:space="preserve"> al 49</w:t>
      </w:r>
      <w:r w:rsidR="001B1295">
        <w:t xml:space="preserve"> </w:t>
      </w:r>
      <w:r>
        <w:t xml:space="preserve">% del total de solicitudes </w:t>
      </w:r>
      <w:r w:rsidR="001B1295">
        <w:t>re</w:t>
      </w:r>
      <w:r w:rsidR="00226B8B">
        <w:t>ci</w:t>
      </w:r>
      <w:r w:rsidR="005C6F51">
        <w:t>bidas, seguido de las felicitacione</w:t>
      </w:r>
      <w:r w:rsidR="00226B8B">
        <w:t xml:space="preserve">s </w:t>
      </w:r>
      <w:r w:rsidR="00FD6E7B">
        <w:t xml:space="preserve"> con una participación del</w:t>
      </w:r>
      <w:r w:rsidR="005C6F51">
        <w:t xml:space="preserve"> 16</w:t>
      </w:r>
      <w:r w:rsidR="001B1295">
        <w:t xml:space="preserve"> </w:t>
      </w:r>
      <w:r>
        <w:t>%</w:t>
      </w:r>
      <w:r w:rsidR="005C6F51">
        <w:t xml:space="preserve">  y de reclamos</w:t>
      </w:r>
      <w:r w:rsidR="0030074A">
        <w:t xml:space="preserve"> el 15%. </w:t>
      </w:r>
      <w:r>
        <w:t xml:space="preserve">En ese orden de ideas, </w:t>
      </w:r>
      <w:r w:rsidR="00100091">
        <w:t>el porcentaje de</w:t>
      </w:r>
      <w:r w:rsidR="00FD6E7B">
        <w:t xml:space="preserve"> </w:t>
      </w:r>
      <w:r w:rsidR="005C6F51">
        <w:t>reclamos  es del 12</w:t>
      </w:r>
      <w:r w:rsidR="00FD6E7B">
        <w:t xml:space="preserve"> </w:t>
      </w:r>
      <w:r w:rsidR="001B1295">
        <w:t xml:space="preserve">% y </w:t>
      </w:r>
      <w:r w:rsidR="005C6F51">
        <w:t xml:space="preserve">sugerencias </w:t>
      </w:r>
      <w:r w:rsidR="00100091">
        <w:t xml:space="preserve"> obedeció al </w:t>
      </w:r>
      <w:r w:rsidR="005C6F51">
        <w:t>8</w:t>
      </w:r>
      <w:r w:rsidR="00B07E32">
        <w:t>%,</w:t>
      </w:r>
      <w:r w:rsidR="00100091">
        <w:t xml:space="preserve"> finalmente </w:t>
      </w:r>
      <w:r w:rsidR="001B1295">
        <w:t xml:space="preserve">no se presentaron denuncias </w:t>
      </w:r>
      <w:r w:rsidR="00B07E32">
        <w:t>durante dicho periodo</w:t>
      </w:r>
      <w:r w:rsidR="005C6F51">
        <w:t xml:space="preserve"> para un total de  100%</w:t>
      </w:r>
      <w:r w:rsidR="00B07E32">
        <w:t xml:space="preserve">. </w:t>
      </w:r>
    </w:p>
    <w:p w:rsidR="00FB1415" w:rsidRDefault="00100091" w:rsidP="00F64F11">
      <w:pPr>
        <w:jc w:val="both"/>
      </w:pPr>
      <w:r w:rsidRPr="0008107B">
        <w:t>Dentro del informe efe</w:t>
      </w:r>
      <w:r w:rsidR="001B1295">
        <w:t xml:space="preserve">ctuado por la oficina de atención al  usuario </w:t>
      </w:r>
      <w:r w:rsidRPr="0008107B">
        <w:t>se indic</w:t>
      </w:r>
      <w:r w:rsidR="009144C6">
        <w:t>ó, que los temas con mayor dif</w:t>
      </w:r>
      <w:r w:rsidR="00FD6E7B">
        <w:t xml:space="preserve">icultad  </w:t>
      </w:r>
      <w:r w:rsidR="00746960">
        <w:t xml:space="preserve">son; </w:t>
      </w:r>
      <w:r w:rsidR="00031DFA">
        <w:t xml:space="preserve">las dificultades entre </w:t>
      </w:r>
      <w:r w:rsidR="0030074A">
        <w:t xml:space="preserve"> usuario y los </w:t>
      </w:r>
      <w:r w:rsidR="00031DFA">
        <w:t xml:space="preserve">profesionales encargados  de los pacientes al adecuado </w:t>
      </w:r>
      <w:r w:rsidR="00D775FC">
        <w:t xml:space="preserve"> prestación del </w:t>
      </w:r>
      <w:r w:rsidR="00E1473F">
        <w:t xml:space="preserve">servicio, </w:t>
      </w:r>
      <w:r w:rsidR="00031DFA">
        <w:t xml:space="preserve"> </w:t>
      </w:r>
      <w:r w:rsidR="00D775FC">
        <w:t xml:space="preserve">comunicación no asertiva entre los involucrados </w:t>
      </w:r>
      <w:r w:rsidR="00922397">
        <w:t xml:space="preserve"> y la </w:t>
      </w:r>
      <w:r w:rsidR="009144C6">
        <w:t>dificultad para comunic</w:t>
      </w:r>
      <w:r w:rsidR="00963D5F">
        <w:t>arse con las sedes de la ESE HOS</w:t>
      </w:r>
      <w:r w:rsidR="009144C6">
        <w:t>PITAL CARI</w:t>
      </w:r>
      <w:r w:rsidR="00794F5D">
        <w:t>SMA</w:t>
      </w:r>
      <w:r w:rsidR="00746960">
        <w:t>.</w:t>
      </w:r>
    </w:p>
    <w:p w:rsidR="0040199F" w:rsidRPr="00F37A41" w:rsidRDefault="0040199F" w:rsidP="00F64F11">
      <w:pPr>
        <w:jc w:val="both"/>
      </w:pPr>
    </w:p>
    <w:p w:rsidR="007C7879" w:rsidRDefault="00100091" w:rsidP="00F37A41">
      <w:pPr>
        <w:pStyle w:val="Prrafodelista"/>
        <w:numPr>
          <w:ilvl w:val="1"/>
          <w:numId w:val="1"/>
        </w:numPr>
        <w:jc w:val="both"/>
        <w:rPr>
          <w:b/>
        </w:rPr>
      </w:pPr>
      <w:r w:rsidRPr="00100091">
        <w:rPr>
          <w:b/>
        </w:rPr>
        <w:t>Oportunidad en la respuesta a las PQRS</w:t>
      </w:r>
    </w:p>
    <w:p w:rsidR="0040199F" w:rsidRDefault="0040199F" w:rsidP="0040199F">
      <w:pPr>
        <w:pStyle w:val="Prrafodelista"/>
        <w:jc w:val="both"/>
        <w:rPr>
          <w:b/>
        </w:rPr>
      </w:pPr>
    </w:p>
    <w:p w:rsidR="008B55B4" w:rsidRDefault="00100091" w:rsidP="00100091">
      <w:pPr>
        <w:jc w:val="both"/>
      </w:pPr>
      <w:r>
        <w:t>Una vez revisada la información reportada por l</w:t>
      </w:r>
      <w:r w:rsidR="001B1295">
        <w:t>a Oficina de Atención</w:t>
      </w:r>
      <w:r>
        <w:t xml:space="preserve"> </w:t>
      </w:r>
      <w:r w:rsidR="001B1295">
        <w:t xml:space="preserve">al Usuario –subdirección científica con </w:t>
      </w:r>
      <w:r>
        <w:t>corte al 3</w:t>
      </w:r>
      <w:r w:rsidR="005C6F51">
        <w:t xml:space="preserve">1 de diciembre </w:t>
      </w:r>
      <w:r w:rsidR="00310722">
        <w:t xml:space="preserve"> </w:t>
      </w:r>
      <w:r w:rsidR="00D84F30">
        <w:t>de 2020</w:t>
      </w:r>
      <w:r w:rsidR="005C6F51">
        <w:t>, de las  67</w:t>
      </w:r>
      <w:r w:rsidR="00A047C6">
        <w:t xml:space="preserve"> </w:t>
      </w:r>
      <w:r>
        <w:t xml:space="preserve"> solicitu</w:t>
      </w:r>
      <w:r w:rsidR="00A047C6">
        <w:t>des tot</w:t>
      </w:r>
      <w:r w:rsidR="00A06370">
        <w:t>a</w:t>
      </w:r>
      <w:r w:rsidR="00F37A41">
        <w:t xml:space="preserve">les recibidas durante el segundo </w:t>
      </w:r>
      <w:r w:rsidR="00A047C6">
        <w:t xml:space="preserve"> </w:t>
      </w:r>
      <w:r>
        <w:t xml:space="preserve">semestre de la citada </w:t>
      </w:r>
      <w:r w:rsidR="00F37A41">
        <w:t xml:space="preserve">vigencia, </w:t>
      </w:r>
      <w:r>
        <w:t xml:space="preserve"> fueron atendidas dentro d</w:t>
      </w:r>
      <w:r w:rsidR="00193220">
        <w:t>el término establecido el 100</w:t>
      </w:r>
      <w:r w:rsidR="00F37A41">
        <w:t xml:space="preserve"> % </w:t>
      </w:r>
      <w:r w:rsidR="00794F5D">
        <w:t xml:space="preserve"> por ciento</w:t>
      </w:r>
      <w:r w:rsidR="00746960">
        <w:t xml:space="preserve"> </w:t>
      </w:r>
      <w:r w:rsidR="006672E7">
        <w:t xml:space="preserve">en la oportunidad </w:t>
      </w:r>
      <w:r w:rsidR="00031DFA">
        <w:t xml:space="preserve">de respuesta a </w:t>
      </w:r>
      <w:r w:rsidR="00FB1415">
        <w:t xml:space="preserve"> las solicitudes</w:t>
      </w:r>
    </w:p>
    <w:p w:rsidR="0040199F" w:rsidRDefault="0040199F" w:rsidP="00FB1415">
      <w:pPr>
        <w:jc w:val="both"/>
        <w:rPr>
          <w:noProof/>
          <w:lang w:eastAsia="es-CO"/>
        </w:rPr>
      </w:pPr>
    </w:p>
    <w:p w:rsidR="00D9342E" w:rsidRDefault="00D9342E" w:rsidP="00D9342E">
      <w:pPr>
        <w:jc w:val="both"/>
      </w:pPr>
      <w:r>
        <w:rPr>
          <w:noProof/>
          <w:lang w:eastAsia="es-CO"/>
        </w:rPr>
        <w:drawing>
          <wp:inline distT="0" distB="0" distL="0" distR="0" wp14:anchorId="6FFC55C5" wp14:editId="3E734F04">
            <wp:extent cx="5553075" cy="1851025"/>
            <wp:effectExtent l="0" t="0" r="9525" b="15875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0B4A" w:rsidRDefault="00EB53B4" w:rsidP="003C0B4A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lastRenderedPageBreak/>
        <w:t xml:space="preserve">6.3  </w:t>
      </w:r>
      <w:r w:rsidR="003C0B4A" w:rsidRPr="00E675B4">
        <w:rPr>
          <w:rFonts w:ascii="Arial Narrow" w:hAnsi="Arial Narrow"/>
          <w:b/>
          <w:sz w:val="24"/>
        </w:rPr>
        <w:t>MEDICIÓN SATISFACCIÓN DEL USUARIO:</w:t>
      </w:r>
    </w:p>
    <w:p w:rsidR="003C0B4A" w:rsidRDefault="003C0B4A" w:rsidP="003C0B4A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:rsidR="009E4720" w:rsidRDefault="009E4720" w:rsidP="003C0B4A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:rsidR="00DB34D5" w:rsidRDefault="00DB34D5" w:rsidP="003C0B4A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:rsidR="003C0B4A" w:rsidRDefault="003C0B4A" w:rsidP="003C0B4A">
      <w:pPr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 continuación se relacionan los resultados de las mediciones realizadas por el área </w:t>
      </w:r>
      <w:r w:rsidR="00787AA5">
        <w:rPr>
          <w:rFonts w:ascii="Arial Narrow" w:hAnsi="Arial Narrow"/>
          <w:sz w:val="24"/>
        </w:rPr>
        <w:t xml:space="preserve">de atención al usuario </w:t>
      </w:r>
      <w:r>
        <w:rPr>
          <w:rFonts w:ascii="Arial Narrow" w:hAnsi="Arial Narrow"/>
          <w:sz w:val="24"/>
        </w:rPr>
        <w:t xml:space="preserve">para </w:t>
      </w:r>
      <w:r w:rsidR="007C4656">
        <w:rPr>
          <w:rFonts w:ascii="Arial Narrow" w:hAnsi="Arial Narrow"/>
          <w:sz w:val="24"/>
        </w:rPr>
        <w:t xml:space="preserve">el segundo </w:t>
      </w:r>
      <w:r w:rsidR="004612F2">
        <w:rPr>
          <w:rFonts w:ascii="Arial Narrow" w:hAnsi="Arial Narrow"/>
          <w:sz w:val="24"/>
        </w:rPr>
        <w:t xml:space="preserve"> semestre</w:t>
      </w:r>
      <w:r w:rsidR="0032119A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  de</w:t>
      </w:r>
      <w:r w:rsidR="0032119A">
        <w:rPr>
          <w:rFonts w:ascii="Arial Narrow" w:hAnsi="Arial Narrow"/>
          <w:sz w:val="24"/>
        </w:rPr>
        <w:t xml:space="preserve"> </w:t>
      </w:r>
      <w:r w:rsidR="00BD7EAE">
        <w:rPr>
          <w:rFonts w:ascii="Arial Narrow" w:hAnsi="Arial Narrow"/>
          <w:sz w:val="24"/>
        </w:rPr>
        <w:t xml:space="preserve"> 2020</w:t>
      </w:r>
      <w:r>
        <w:rPr>
          <w:rFonts w:ascii="Arial Narrow" w:hAnsi="Arial Narrow"/>
          <w:sz w:val="24"/>
        </w:rPr>
        <w:t>:</w:t>
      </w:r>
    </w:p>
    <w:p w:rsidR="006832D4" w:rsidRDefault="006832D4" w:rsidP="00DB34D5">
      <w:pPr>
        <w:spacing w:after="0" w:line="240" w:lineRule="auto"/>
        <w:jc w:val="both"/>
        <w:rPr>
          <w:rFonts w:ascii="Arial Narrow" w:hAnsi="Arial Narrow"/>
          <w:sz w:val="24"/>
        </w:rPr>
      </w:pPr>
    </w:p>
    <w:p w:rsidR="00DB34D5" w:rsidRDefault="00DB34D5" w:rsidP="00DB34D5">
      <w:pPr>
        <w:spacing w:after="0" w:line="240" w:lineRule="auto"/>
        <w:jc w:val="both"/>
        <w:rPr>
          <w:b/>
          <w:sz w:val="24"/>
        </w:rPr>
      </w:pPr>
      <w:r w:rsidRPr="008F2C79">
        <w:rPr>
          <w:b/>
          <w:sz w:val="24"/>
        </w:rPr>
        <w:t>Hospital Total:</w:t>
      </w:r>
    </w:p>
    <w:p w:rsidR="00DB34D5" w:rsidRDefault="00DB34D5" w:rsidP="00DB34D5">
      <w:pPr>
        <w:spacing w:after="0" w:line="240" w:lineRule="auto"/>
        <w:jc w:val="both"/>
        <w:rPr>
          <w:b/>
          <w:sz w:val="24"/>
        </w:rPr>
      </w:pPr>
    </w:p>
    <w:p w:rsidR="001B40A5" w:rsidRDefault="001B40A5" w:rsidP="001B40A5">
      <w:pPr>
        <w:spacing w:after="0" w:line="240" w:lineRule="auto"/>
        <w:rPr>
          <w:rFonts w:ascii="Arial Narrow" w:hAnsi="Arial Narrow"/>
          <w:b/>
          <w:sz w:val="24"/>
        </w:rPr>
      </w:pPr>
    </w:p>
    <w:p w:rsidR="001B40A5" w:rsidRDefault="001B40A5" w:rsidP="001B40A5">
      <w:pPr>
        <w:spacing w:after="0" w:line="240" w:lineRule="auto"/>
        <w:rPr>
          <w:rFonts w:ascii="Arial Narrow" w:hAnsi="Arial Narrow"/>
          <w:b/>
          <w:sz w:val="24"/>
        </w:rPr>
      </w:pPr>
    </w:p>
    <w:p w:rsidR="001B40A5" w:rsidRDefault="00FA74A8" w:rsidP="001B40A5">
      <w:pPr>
        <w:spacing w:after="0" w:line="240" w:lineRule="auto"/>
        <w:rPr>
          <w:rFonts w:ascii="Arial Narrow" w:hAnsi="Arial Narrow"/>
          <w:b/>
          <w:sz w:val="24"/>
        </w:rPr>
      </w:pPr>
      <w:bookmarkStart w:id="0" w:name="_GoBack"/>
      <w:r w:rsidRPr="00B12949">
        <w:rPr>
          <w:noProof/>
          <w:lang w:eastAsia="es-CO"/>
        </w:rPr>
        <w:drawing>
          <wp:inline distT="0" distB="0" distL="0" distR="0" wp14:anchorId="47848E2B" wp14:editId="434EF1A5">
            <wp:extent cx="5916952" cy="3943350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103" cy="3947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B40A5" w:rsidRDefault="001B40A5" w:rsidP="001B40A5">
      <w:pPr>
        <w:spacing w:after="0" w:line="240" w:lineRule="auto"/>
        <w:rPr>
          <w:rFonts w:ascii="Arial Narrow" w:hAnsi="Arial Narrow"/>
          <w:b/>
          <w:sz w:val="24"/>
        </w:rPr>
      </w:pPr>
    </w:p>
    <w:p w:rsidR="001B40A5" w:rsidRDefault="001B40A5" w:rsidP="001B40A5">
      <w:pPr>
        <w:spacing w:after="0" w:line="24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  <w:lang w:eastAsia="es-CO"/>
        </w:rPr>
        <w:lastRenderedPageBreak/>
        <w:drawing>
          <wp:inline distT="0" distB="0" distL="0" distR="0" wp14:anchorId="630C764B" wp14:editId="7022F8C1">
            <wp:extent cx="4867275" cy="2672812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513" cy="2678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40A5" w:rsidRDefault="001B40A5" w:rsidP="001B40A5">
      <w:pPr>
        <w:spacing w:after="0" w:line="240" w:lineRule="auto"/>
        <w:rPr>
          <w:rFonts w:ascii="Arial Narrow" w:hAnsi="Arial Narrow"/>
          <w:b/>
          <w:sz w:val="24"/>
        </w:rPr>
      </w:pPr>
    </w:p>
    <w:p w:rsidR="001B40A5" w:rsidRDefault="001B40A5" w:rsidP="001B40A5">
      <w:pPr>
        <w:spacing w:after="0" w:line="240" w:lineRule="auto"/>
        <w:rPr>
          <w:rFonts w:ascii="Arial Narrow" w:hAnsi="Arial Narrow"/>
          <w:b/>
          <w:sz w:val="24"/>
        </w:rPr>
      </w:pPr>
    </w:p>
    <w:p w:rsidR="001B40A5" w:rsidRDefault="001B40A5" w:rsidP="001B40A5">
      <w:pPr>
        <w:spacing w:after="0" w:line="240" w:lineRule="auto"/>
        <w:rPr>
          <w:rFonts w:ascii="Arial Narrow" w:hAnsi="Arial Narrow"/>
          <w:b/>
          <w:sz w:val="24"/>
        </w:rPr>
      </w:pPr>
      <w:r w:rsidRPr="004A13EE">
        <w:rPr>
          <w:rFonts w:ascii="Arial Narrow" w:hAnsi="Arial Narrow"/>
          <w:b/>
          <w:sz w:val="24"/>
        </w:rPr>
        <w:t>Consulta externa:</w:t>
      </w:r>
    </w:p>
    <w:p w:rsidR="001B40A5" w:rsidRDefault="001B40A5" w:rsidP="001B40A5">
      <w:pPr>
        <w:spacing w:after="0" w:line="240" w:lineRule="auto"/>
        <w:rPr>
          <w:rFonts w:ascii="Arial Narrow" w:hAnsi="Arial Narrow"/>
          <w:b/>
          <w:sz w:val="24"/>
        </w:rPr>
      </w:pPr>
    </w:p>
    <w:p w:rsidR="001B40A5" w:rsidRDefault="001B40A5" w:rsidP="001B40A5">
      <w:pPr>
        <w:spacing w:after="0" w:line="240" w:lineRule="auto"/>
        <w:rPr>
          <w:rFonts w:ascii="Arial Narrow" w:hAnsi="Arial Narrow"/>
          <w:b/>
          <w:sz w:val="24"/>
        </w:rPr>
      </w:pPr>
      <w:r w:rsidRPr="00B57BCF">
        <w:rPr>
          <w:noProof/>
          <w:lang w:eastAsia="es-CO"/>
        </w:rPr>
        <w:drawing>
          <wp:inline distT="0" distB="0" distL="0" distR="0" wp14:anchorId="08ADF855" wp14:editId="151C7DDE">
            <wp:extent cx="5362575" cy="2778788"/>
            <wp:effectExtent l="0" t="0" r="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731" cy="278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0A5" w:rsidRDefault="001B40A5" w:rsidP="001B40A5">
      <w:pPr>
        <w:spacing w:after="0" w:line="240" w:lineRule="auto"/>
        <w:rPr>
          <w:rFonts w:ascii="Arial Narrow" w:hAnsi="Arial Narrow"/>
          <w:b/>
          <w:sz w:val="24"/>
        </w:rPr>
      </w:pPr>
    </w:p>
    <w:p w:rsidR="001B40A5" w:rsidRDefault="001B40A5" w:rsidP="001B40A5">
      <w:pPr>
        <w:spacing w:after="0" w:line="240" w:lineRule="auto"/>
        <w:rPr>
          <w:noProof/>
          <w:lang w:eastAsia="es-CO"/>
        </w:rPr>
      </w:pPr>
    </w:p>
    <w:p w:rsidR="001B40A5" w:rsidRDefault="001B40A5" w:rsidP="001B40A5">
      <w:pPr>
        <w:spacing w:after="0" w:line="240" w:lineRule="auto"/>
        <w:rPr>
          <w:rFonts w:ascii="Arial Narrow" w:hAnsi="Arial Narrow"/>
          <w:b/>
          <w:sz w:val="24"/>
        </w:rPr>
      </w:pPr>
      <w:r>
        <w:rPr>
          <w:noProof/>
          <w:lang w:eastAsia="es-CO"/>
        </w:rPr>
        <w:lastRenderedPageBreak/>
        <w:drawing>
          <wp:inline distT="0" distB="0" distL="0" distR="0" wp14:anchorId="01156ED7" wp14:editId="2E49E2A2">
            <wp:extent cx="5133975" cy="2202180"/>
            <wp:effectExtent l="0" t="0" r="9525" b="762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B40A5" w:rsidRDefault="001B40A5" w:rsidP="001B40A5">
      <w:pPr>
        <w:spacing w:after="0" w:line="240" w:lineRule="auto"/>
        <w:rPr>
          <w:rFonts w:ascii="Arial Narrow" w:hAnsi="Arial Narrow"/>
          <w:b/>
          <w:sz w:val="24"/>
        </w:rPr>
      </w:pPr>
    </w:p>
    <w:p w:rsidR="001B40A5" w:rsidRDefault="001B40A5" w:rsidP="001B40A5">
      <w:pPr>
        <w:spacing w:after="0" w:line="240" w:lineRule="auto"/>
        <w:rPr>
          <w:rFonts w:ascii="Arial Narrow" w:hAnsi="Arial Narrow"/>
          <w:b/>
          <w:noProof/>
          <w:sz w:val="24"/>
          <w:lang w:eastAsia="es-CO"/>
        </w:rPr>
      </w:pPr>
    </w:p>
    <w:p w:rsidR="001B40A5" w:rsidRDefault="001B40A5" w:rsidP="001B40A5">
      <w:pPr>
        <w:spacing w:after="0" w:line="240" w:lineRule="auto"/>
        <w:rPr>
          <w:rFonts w:ascii="Arial Narrow" w:hAnsi="Arial Narrow"/>
          <w:b/>
          <w:noProof/>
          <w:sz w:val="24"/>
          <w:lang w:eastAsia="es-CO"/>
        </w:rPr>
      </w:pPr>
    </w:p>
    <w:p w:rsidR="001B40A5" w:rsidRPr="004A13EE" w:rsidRDefault="001B40A5" w:rsidP="001B40A5">
      <w:pPr>
        <w:spacing w:after="0" w:line="240" w:lineRule="auto"/>
        <w:rPr>
          <w:rFonts w:ascii="Arial Narrow" w:hAnsi="Arial Narrow"/>
          <w:b/>
          <w:noProof/>
          <w:sz w:val="24"/>
          <w:lang w:eastAsia="es-CO"/>
        </w:rPr>
      </w:pPr>
      <w:r w:rsidRPr="004A13EE">
        <w:rPr>
          <w:rFonts w:ascii="Arial Narrow" w:hAnsi="Arial Narrow"/>
          <w:b/>
          <w:noProof/>
          <w:sz w:val="24"/>
          <w:lang w:eastAsia="es-CO"/>
        </w:rPr>
        <w:t>Hospital dia</w:t>
      </w:r>
    </w:p>
    <w:p w:rsidR="001B40A5" w:rsidRDefault="001B40A5" w:rsidP="001B40A5">
      <w:pPr>
        <w:spacing w:after="0" w:line="240" w:lineRule="auto"/>
        <w:rPr>
          <w:rFonts w:ascii="Arial Narrow" w:hAnsi="Arial Narrow"/>
          <w:b/>
          <w:noProof/>
          <w:sz w:val="24"/>
          <w:lang w:eastAsia="es-CO"/>
        </w:rPr>
      </w:pPr>
    </w:p>
    <w:p w:rsidR="001B40A5" w:rsidRPr="004A13EE" w:rsidRDefault="001B40A5" w:rsidP="001B40A5">
      <w:pPr>
        <w:spacing w:after="0" w:line="240" w:lineRule="auto"/>
        <w:rPr>
          <w:rFonts w:ascii="Arial Narrow" w:hAnsi="Arial Narrow"/>
          <w:b/>
          <w:noProof/>
          <w:sz w:val="24"/>
          <w:lang w:eastAsia="es-CO"/>
        </w:rPr>
      </w:pPr>
    </w:p>
    <w:p w:rsidR="001B40A5" w:rsidRPr="004A13EE" w:rsidRDefault="001B40A5" w:rsidP="001B40A5">
      <w:pPr>
        <w:spacing w:after="0" w:line="240" w:lineRule="auto"/>
        <w:jc w:val="both"/>
        <w:rPr>
          <w:rFonts w:ascii="Arial Narrow" w:hAnsi="Arial Narrow"/>
          <w:noProof/>
          <w:sz w:val="24"/>
          <w:lang w:eastAsia="es-CO"/>
        </w:rPr>
      </w:pPr>
      <w:r w:rsidRPr="004A13EE">
        <w:rPr>
          <w:rFonts w:ascii="Arial Narrow" w:hAnsi="Arial Narrow"/>
          <w:noProof/>
          <w:sz w:val="24"/>
          <w:lang w:eastAsia="es-CO"/>
        </w:rPr>
        <w:t>Para este periodo no tendremos  reporte de satisfaccion de esta fase; debido a que el servicio se suspendio por motivo de cuarentena, para evitar la propagacion del visrus dentro de la institucion.</w:t>
      </w:r>
    </w:p>
    <w:p w:rsidR="001B40A5" w:rsidRDefault="001B40A5" w:rsidP="001B40A5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:rsidR="001B40A5" w:rsidRPr="00052FC8" w:rsidRDefault="001B40A5" w:rsidP="001B40A5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Satisfacción global</w:t>
      </w:r>
    </w:p>
    <w:p w:rsidR="001B40A5" w:rsidRDefault="001B40A5" w:rsidP="001B40A5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:rsidR="001B40A5" w:rsidRDefault="001B40A5" w:rsidP="001B40A5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45065A">
        <w:rPr>
          <w:noProof/>
          <w:sz w:val="20"/>
          <w:szCs w:val="20"/>
          <w:lang w:eastAsia="es-CO"/>
        </w:rPr>
        <w:drawing>
          <wp:inline distT="0" distB="0" distL="0" distR="0" wp14:anchorId="638820FD" wp14:editId="786681D4">
            <wp:extent cx="4695825" cy="2349743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1635" cy="23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0A5" w:rsidRDefault="001B40A5" w:rsidP="001B40A5">
      <w:pPr>
        <w:spacing w:after="0" w:line="240" w:lineRule="auto"/>
        <w:rPr>
          <w:rFonts w:ascii="Arial Narrow" w:hAnsi="Arial Narrow"/>
          <w:b/>
          <w:sz w:val="24"/>
        </w:rPr>
      </w:pPr>
    </w:p>
    <w:p w:rsidR="001B40A5" w:rsidRDefault="001B40A5" w:rsidP="001B40A5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:rsidR="001B40A5" w:rsidRDefault="001B40A5" w:rsidP="001B40A5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:rsidR="001B40A5" w:rsidRDefault="001B40A5" w:rsidP="001B40A5">
      <w:pPr>
        <w:spacing w:after="0" w:line="24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  <w:lang w:eastAsia="es-CO"/>
        </w:rPr>
        <w:lastRenderedPageBreak/>
        <w:drawing>
          <wp:inline distT="0" distB="0" distL="0" distR="0" wp14:anchorId="0F8FAA8A" wp14:editId="158E21D0">
            <wp:extent cx="4895850" cy="3108154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430" cy="3112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4C40" w:rsidRPr="00AA7361" w:rsidRDefault="001B40A5" w:rsidP="00AA7361">
      <w:pPr>
        <w:rPr>
          <w:noProof/>
          <w:lang w:eastAsia="es-CO"/>
        </w:rPr>
      </w:pPr>
      <w:r>
        <w:rPr>
          <w:noProof/>
          <w:lang w:eastAsia="es-CO"/>
        </w:rPr>
        <w:tab/>
      </w:r>
      <w:r>
        <w:rPr>
          <w:noProof/>
          <w:lang w:eastAsia="es-CO"/>
        </w:rPr>
        <w:tab/>
      </w:r>
    </w:p>
    <w:p w:rsidR="003D4C40" w:rsidRDefault="003D4C40" w:rsidP="003D4C40">
      <w:pPr>
        <w:spacing w:after="0" w:line="240" w:lineRule="auto"/>
        <w:jc w:val="both"/>
        <w:rPr>
          <w:b/>
          <w:szCs w:val="22"/>
        </w:rPr>
      </w:pPr>
    </w:p>
    <w:p w:rsidR="003D4C40" w:rsidRPr="00BB3C31" w:rsidRDefault="003D4C40" w:rsidP="003D4C40">
      <w:pPr>
        <w:spacing w:after="0" w:line="240" w:lineRule="auto"/>
        <w:jc w:val="both"/>
        <w:rPr>
          <w:b/>
          <w:szCs w:val="22"/>
        </w:rPr>
      </w:pPr>
    </w:p>
    <w:p w:rsidR="00330D6E" w:rsidRPr="003D4C40" w:rsidRDefault="003D4C40" w:rsidP="003D4C40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 </w:t>
      </w:r>
    </w:p>
    <w:p w:rsidR="00330D6E" w:rsidRDefault="00330D6E" w:rsidP="00330D6E">
      <w:pPr>
        <w:spacing w:after="0" w:line="240" w:lineRule="auto"/>
        <w:jc w:val="both"/>
        <w:rPr>
          <w:b/>
          <w:noProof/>
          <w:sz w:val="24"/>
          <w:lang w:eastAsia="es-CO"/>
        </w:rPr>
      </w:pPr>
    </w:p>
    <w:p w:rsidR="00574FB8" w:rsidRDefault="00EB53B4" w:rsidP="003D4C40">
      <w:pPr>
        <w:pStyle w:val="Prrafodelista"/>
        <w:numPr>
          <w:ilvl w:val="0"/>
          <w:numId w:val="1"/>
        </w:numPr>
        <w:jc w:val="both"/>
        <w:rPr>
          <w:b/>
          <w:szCs w:val="22"/>
        </w:rPr>
      </w:pPr>
      <w:r w:rsidRPr="003D4C40">
        <w:rPr>
          <w:b/>
          <w:szCs w:val="22"/>
        </w:rPr>
        <w:t>CONCLUSION</w:t>
      </w:r>
    </w:p>
    <w:p w:rsidR="003D4C40" w:rsidRPr="003D4C40" w:rsidRDefault="003D4C40" w:rsidP="003D4C40">
      <w:pPr>
        <w:ind w:left="360"/>
        <w:jc w:val="both"/>
        <w:rPr>
          <w:b/>
          <w:szCs w:val="22"/>
        </w:rPr>
      </w:pPr>
    </w:p>
    <w:p w:rsidR="00FF3F08" w:rsidRDefault="00787AA5" w:rsidP="00FF3F08">
      <w:pPr>
        <w:jc w:val="both"/>
        <w:rPr>
          <w:szCs w:val="22"/>
        </w:rPr>
      </w:pPr>
      <w:r w:rsidRPr="00FF3F08">
        <w:rPr>
          <w:szCs w:val="22"/>
        </w:rPr>
        <w:t>La ESE HOSPITAL CARISMA</w:t>
      </w:r>
      <w:r w:rsidR="004612F2" w:rsidRPr="00FF3F08">
        <w:rPr>
          <w:szCs w:val="22"/>
        </w:rPr>
        <w:t>,</w:t>
      </w:r>
      <w:r w:rsidRPr="00FF3F08">
        <w:rPr>
          <w:szCs w:val="22"/>
        </w:rPr>
        <w:t xml:space="preserve"> como </w:t>
      </w:r>
      <w:r w:rsidR="00574FB8" w:rsidRPr="00FF3F08">
        <w:rPr>
          <w:szCs w:val="22"/>
        </w:rPr>
        <w:t xml:space="preserve"> </w:t>
      </w:r>
      <w:r w:rsidR="002F0075" w:rsidRPr="00FF3F08">
        <w:rPr>
          <w:szCs w:val="22"/>
        </w:rPr>
        <w:t>resultado</w:t>
      </w:r>
      <w:r w:rsidR="00590B3A" w:rsidRPr="00FF3F08">
        <w:rPr>
          <w:szCs w:val="22"/>
        </w:rPr>
        <w:t xml:space="preserve"> </w:t>
      </w:r>
      <w:r w:rsidR="002F0075" w:rsidRPr="00FF3F08">
        <w:rPr>
          <w:szCs w:val="22"/>
        </w:rPr>
        <w:t>e</w:t>
      </w:r>
      <w:r w:rsidR="00574FB8" w:rsidRPr="00FF3F08">
        <w:rPr>
          <w:szCs w:val="22"/>
        </w:rPr>
        <w:t>n e</w:t>
      </w:r>
      <w:r w:rsidR="00590B3A" w:rsidRPr="00FF3F08">
        <w:rPr>
          <w:szCs w:val="22"/>
        </w:rPr>
        <w:t xml:space="preserve">l </w:t>
      </w:r>
      <w:r w:rsidR="003D4C40">
        <w:rPr>
          <w:szCs w:val="22"/>
        </w:rPr>
        <w:t xml:space="preserve">segundo </w:t>
      </w:r>
      <w:r w:rsidR="00112E82" w:rsidRPr="00FF3F08">
        <w:rPr>
          <w:szCs w:val="22"/>
        </w:rPr>
        <w:t xml:space="preserve"> </w:t>
      </w:r>
      <w:r w:rsidR="0008107B" w:rsidRPr="00FF3F08">
        <w:rPr>
          <w:szCs w:val="22"/>
        </w:rPr>
        <w:t xml:space="preserve"> semestre de la </w:t>
      </w:r>
      <w:r w:rsidR="004612F2" w:rsidRPr="00FF3F08">
        <w:rPr>
          <w:szCs w:val="22"/>
        </w:rPr>
        <w:t>vigencia 2020</w:t>
      </w:r>
      <w:r w:rsidR="00B73A93" w:rsidRPr="00FF3F08">
        <w:rPr>
          <w:szCs w:val="22"/>
        </w:rPr>
        <w:t xml:space="preserve">, </w:t>
      </w:r>
      <w:r w:rsidR="00112E82" w:rsidRPr="00FF3F08">
        <w:rPr>
          <w:szCs w:val="22"/>
        </w:rPr>
        <w:t xml:space="preserve">  logró en</w:t>
      </w:r>
      <w:r w:rsidR="00E82403" w:rsidRPr="00FF3F08">
        <w:rPr>
          <w:szCs w:val="22"/>
        </w:rPr>
        <w:t xml:space="preserve"> </w:t>
      </w:r>
      <w:r w:rsidR="0008107B" w:rsidRPr="00FF3F08">
        <w:rPr>
          <w:szCs w:val="22"/>
        </w:rPr>
        <w:t xml:space="preserve"> </w:t>
      </w:r>
      <w:r w:rsidR="00590B3A" w:rsidRPr="00FF3F08">
        <w:rPr>
          <w:szCs w:val="22"/>
        </w:rPr>
        <w:t xml:space="preserve"> té</w:t>
      </w:r>
      <w:r w:rsidR="00B73A93" w:rsidRPr="00FF3F08">
        <w:rPr>
          <w:szCs w:val="22"/>
        </w:rPr>
        <w:t xml:space="preserve">rminos de respuesta </w:t>
      </w:r>
      <w:r w:rsidR="00FF3F08" w:rsidRPr="00FF3F08">
        <w:rPr>
          <w:szCs w:val="22"/>
        </w:rPr>
        <w:t>oportuna</w:t>
      </w:r>
      <w:r w:rsidR="00E82403" w:rsidRPr="00FF3F08">
        <w:rPr>
          <w:szCs w:val="22"/>
        </w:rPr>
        <w:t xml:space="preserve"> a las expresiones </w:t>
      </w:r>
      <w:r w:rsidR="00B73A93" w:rsidRPr="00FF3F08">
        <w:rPr>
          <w:szCs w:val="22"/>
        </w:rPr>
        <w:t>de las PQRS</w:t>
      </w:r>
      <w:r w:rsidR="00FF3F08" w:rsidRPr="00FF3F08">
        <w:rPr>
          <w:szCs w:val="22"/>
        </w:rPr>
        <w:t>F</w:t>
      </w:r>
      <w:r w:rsidR="00B73A93" w:rsidRPr="00FF3F08">
        <w:rPr>
          <w:szCs w:val="22"/>
        </w:rPr>
        <w:t xml:space="preserve"> </w:t>
      </w:r>
      <w:r w:rsidR="00112E82" w:rsidRPr="00FF3F08">
        <w:rPr>
          <w:szCs w:val="22"/>
        </w:rPr>
        <w:t>de la ESE CARISMA</w:t>
      </w:r>
      <w:r w:rsidR="003D4C40">
        <w:rPr>
          <w:szCs w:val="22"/>
        </w:rPr>
        <w:t xml:space="preserve"> el 100</w:t>
      </w:r>
      <w:r w:rsidR="00AA7361">
        <w:rPr>
          <w:szCs w:val="22"/>
        </w:rPr>
        <w:t xml:space="preserve"> %</w:t>
      </w:r>
      <w:r w:rsidR="00FF3F08" w:rsidRPr="00FF3F08">
        <w:rPr>
          <w:szCs w:val="22"/>
        </w:rPr>
        <w:t xml:space="preserve">, </w:t>
      </w:r>
      <w:r w:rsidR="00D775FC" w:rsidRPr="00FF3F08">
        <w:rPr>
          <w:szCs w:val="22"/>
        </w:rPr>
        <w:t>igualmente</w:t>
      </w:r>
      <w:r w:rsidR="00FF3F08" w:rsidRPr="00FF3F08">
        <w:rPr>
          <w:szCs w:val="22"/>
        </w:rPr>
        <w:t xml:space="preserve"> </w:t>
      </w:r>
      <w:r w:rsidR="00AA7361">
        <w:rPr>
          <w:szCs w:val="22"/>
        </w:rPr>
        <w:t xml:space="preserve">se esperan </w:t>
      </w:r>
      <w:r w:rsidR="00FF3F08" w:rsidRPr="00FF3F08">
        <w:rPr>
          <w:szCs w:val="22"/>
        </w:rPr>
        <w:t xml:space="preserve">acciones </w:t>
      </w:r>
      <w:r w:rsidR="00D775FC" w:rsidRPr="00FF3F08">
        <w:rPr>
          <w:szCs w:val="22"/>
        </w:rPr>
        <w:t xml:space="preserve"> que subsanen la </w:t>
      </w:r>
      <w:r w:rsidR="00AA7361">
        <w:rPr>
          <w:szCs w:val="22"/>
        </w:rPr>
        <w:t xml:space="preserve">causa raíz de las expresiones </w:t>
      </w:r>
      <w:r w:rsidR="00D775FC" w:rsidRPr="00FF3F08">
        <w:rPr>
          <w:szCs w:val="22"/>
        </w:rPr>
        <w:t xml:space="preserve"> que se vienen presentando de manera repetitiva dentro de la vige</w:t>
      </w:r>
      <w:r w:rsidR="00FF3F08" w:rsidRPr="00FF3F08">
        <w:rPr>
          <w:szCs w:val="22"/>
        </w:rPr>
        <w:t>ncia</w:t>
      </w:r>
    </w:p>
    <w:p w:rsidR="003D4C40" w:rsidRDefault="003D4C40" w:rsidP="00FF3F08">
      <w:pPr>
        <w:jc w:val="both"/>
        <w:rPr>
          <w:szCs w:val="22"/>
        </w:rPr>
      </w:pPr>
    </w:p>
    <w:p w:rsidR="003D4C40" w:rsidRDefault="003D4C40" w:rsidP="00FF3F08">
      <w:pPr>
        <w:jc w:val="both"/>
        <w:rPr>
          <w:szCs w:val="22"/>
        </w:rPr>
      </w:pPr>
    </w:p>
    <w:p w:rsidR="003D4C40" w:rsidRDefault="003D4C40" w:rsidP="00FF3F08">
      <w:pPr>
        <w:jc w:val="both"/>
        <w:rPr>
          <w:szCs w:val="22"/>
        </w:rPr>
      </w:pPr>
    </w:p>
    <w:p w:rsidR="003D4C40" w:rsidRPr="00FF3F08" w:rsidRDefault="003D4C40" w:rsidP="00FF3F08">
      <w:pPr>
        <w:jc w:val="both"/>
        <w:rPr>
          <w:szCs w:val="22"/>
        </w:rPr>
      </w:pPr>
    </w:p>
    <w:p w:rsidR="00590B3A" w:rsidRPr="00BB3C31" w:rsidRDefault="00A84D4D" w:rsidP="00BB3C31">
      <w:pPr>
        <w:spacing w:after="0" w:line="240" w:lineRule="auto"/>
        <w:jc w:val="both"/>
        <w:rPr>
          <w:b/>
          <w:szCs w:val="22"/>
        </w:rPr>
      </w:pPr>
      <w:r>
        <w:rPr>
          <w:b/>
          <w:szCs w:val="22"/>
        </w:rPr>
        <w:t xml:space="preserve">YON </w:t>
      </w:r>
      <w:r w:rsidR="00BB3C31" w:rsidRPr="00BB3C31">
        <w:rPr>
          <w:b/>
          <w:szCs w:val="22"/>
        </w:rPr>
        <w:t xml:space="preserve">ALEJANDRO VÁSQUEZ ÁLVAREZ </w:t>
      </w:r>
    </w:p>
    <w:p w:rsidR="00BB3C31" w:rsidRPr="00590B3A" w:rsidRDefault="00AA7361" w:rsidP="00BB3C31">
      <w:pPr>
        <w:spacing w:after="0" w:line="240" w:lineRule="auto"/>
        <w:jc w:val="both"/>
        <w:rPr>
          <w:szCs w:val="22"/>
        </w:rPr>
      </w:pPr>
      <w:r>
        <w:rPr>
          <w:szCs w:val="22"/>
        </w:rPr>
        <w:t>Asesor de Control Interno Carisma</w:t>
      </w:r>
    </w:p>
    <w:sectPr w:rsidR="00BB3C31" w:rsidRPr="00590B3A" w:rsidSect="00BB3C31">
      <w:headerReference w:type="default" r:id="rId16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BAA" w:rsidRDefault="00987BAA" w:rsidP="00D2351F">
      <w:pPr>
        <w:spacing w:after="0" w:line="240" w:lineRule="auto"/>
      </w:pPr>
      <w:r>
        <w:separator/>
      </w:r>
    </w:p>
  </w:endnote>
  <w:endnote w:type="continuationSeparator" w:id="0">
    <w:p w:rsidR="00987BAA" w:rsidRDefault="00987BAA" w:rsidP="00D23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BAA" w:rsidRDefault="00987BAA" w:rsidP="00D2351F">
      <w:pPr>
        <w:spacing w:after="0" w:line="240" w:lineRule="auto"/>
      </w:pPr>
      <w:r>
        <w:separator/>
      </w:r>
    </w:p>
  </w:footnote>
  <w:footnote w:type="continuationSeparator" w:id="0">
    <w:p w:rsidR="00987BAA" w:rsidRDefault="00987BAA" w:rsidP="00D23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51F" w:rsidRDefault="007D43C2" w:rsidP="007D43C2">
    <w:pPr>
      <w:pStyle w:val="Encabezado"/>
      <w:jc w:val="right"/>
    </w:pPr>
    <w:r w:rsidRPr="00D93118">
      <w:rPr>
        <w:rFonts w:ascii="Calibri Light" w:hAnsi="Calibri Light"/>
        <w:noProof/>
        <w:color w:val="5B9BD5"/>
        <w:szCs w:val="24"/>
        <w:lang w:val="es-CO" w:eastAsia="es-CO"/>
      </w:rPr>
      <w:drawing>
        <wp:anchor distT="0" distB="0" distL="114300" distR="114300" simplePos="0" relativeHeight="251659264" behindDoc="0" locked="0" layoutInCell="1" allowOverlap="1" wp14:anchorId="706971E6" wp14:editId="1843898E">
          <wp:simplePos x="0" y="0"/>
          <wp:positionH relativeFrom="column">
            <wp:posOffset>-142875</wp:posOffset>
          </wp:positionH>
          <wp:positionV relativeFrom="paragraph">
            <wp:posOffset>8890</wp:posOffset>
          </wp:positionV>
          <wp:extent cx="1753870" cy="773430"/>
          <wp:effectExtent l="0" t="0" r="0" b="7620"/>
          <wp:wrapNone/>
          <wp:docPr id="4" name="Imagen 4" descr="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361"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O" w:eastAsia="es-CO"/>
      </w:rPr>
      <w:drawing>
        <wp:inline distT="0" distB="0" distL="0" distR="0" wp14:anchorId="725AE5FF" wp14:editId="542F4C63">
          <wp:extent cx="1428750" cy="872490"/>
          <wp:effectExtent l="0" t="0" r="0" b="3810"/>
          <wp:docPr id="2" name="Imagen 2" descr="Macintosh HD:Users:diegoquiceno:Downloads:pasted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Macintosh HD:Users:diegoquiceno:Downloads:pastedImag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7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E0B89"/>
    <w:multiLevelType w:val="hybridMultilevel"/>
    <w:tmpl w:val="57DA9A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07B97"/>
    <w:multiLevelType w:val="multilevel"/>
    <w:tmpl w:val="2F401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D0A33AC"/>
    <w:multiLevelType w:val="hybridMultilevel"/>
    <w:tmpl w:val="19B45B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853AA"/>
    <w:multiLevelType w:val="multilevel"/>
    <w:tmpl w:val="2F401D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C4B542E"/>
    <w:multiLevelType w:val="hybridMultilevel"/>
    <w:tmpl w:val="674AE0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E6BDE"/>
    <w:multiLevelType w:val="hybridMultilevel"/>
    <w:tmpl w:val="EDA0CD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9B2"/>
    <w:rsid w:val="00000F7D"/>
    <w:rsid w:val="00002471"/>
    <w:rsid w:val="00003A54"/>
    <w:rsid w:val="00003AF8"/>
    <w:rsid w:val="000113E8"/>
    <w:rsid w:val="00015CCB"/>
    <w:rsid w:val="00020A8C"/>
    <w:rsid w:val="000270E8"/>
    <w:rsid w:val="00027D7F"/>
    <w:rsid w:val="00027FF0"/>
    <w:rsid w:val="00031DFA"/>
    <w:rsid w:val="000342B2"/>
    <w:rsid w:val="00035E18"/>
    <w:rsid w:val="00036A00"/>
    <w:rsid w:val="00037B6F"/>
    <w:rsid w:val="00041664"/>
    <w:rsid w:val="00051884"/>
    <w:rsid w:val="00051D8F"/>
    <w:rsid w:val="00052B8A"/>
    <w:rsid w:val="000540D2"/>
    <w:rsid w:val="00062417"/>
    <w:rsid w:val="00070840"/>
    <w:rsid w:val="0008107B"/>
    <w:rsid w:val="00083E35"/>
    <w:rsid w:val="000878D3"/>
    <w:rsid w:val="000949FD"/>
    <w:rsid w:val="000A3A5C"/>
    <w:rsid w:val="000A776E"/>
    <w:rsid w:val="000A7ECD"/>
    <w:rsid w:val="000A7FED"/>
    <w:rsid w:val="000B79EA"/>
    <w:rsid w:val="000C1A1E"/>
    <w:rsid w:val="000C22D1"/>
    <w:rsid w:val="000C3A30"/>
    <w:rsid w:val="000D0C77"/>
    <w:rsid w:val="000D3024"/>
    <w:rsid w:val="000D3ACC"/>
    <w:rsid w:val="000D4D80"/>
    <w:rsid w:val="000D6D24"/>
    <w:rsid w:val="000D6F61"/>
    <w:rsid w:val="000D6F94"/>
    <w:rsid w:val="000E2529"/>
    <w:rsid w:val="000E3011"/>
    <w:rsid w:val="000E48A7"/>
    <w:rsid w:val="000E5798"/>
    <w:rsid w:val="000E5A6C"/>
    <w:rsid w:val="000E7AAB"/>
    <w:rsid w:val="000F1714"/>
    <w:rsid w:val="000F1B5A"/>
    <w:rsid w:val="000F3369"/>
    <w:rsid w:val="000F53DA"/>
    <w:rsid w:val="00100091"/>
    <w:rsid w:val="001123EA"/>
    <w:rsid w:val="00112E82"/>
    <w:rsid w:val="00113F6E"/>
    <w:rsid w:val="0011649A"/>
    <w:rsid w:val="001253EA"/>
    <w:rsid w:val="001257B4"/>
    <w:rsid w:val="00130135"/>
    <w:rsid w:val="00131659"/>
    <w:rsid w:val="0013466C"/>
    <w:rsid w:val="00151AF3"/>
    <w:rsid w:val="00153931"/>
    <w:rsid w:val="00166C65"/>
    <w:rsid w:val="00172F87"/>
    <w:rsid w:val="00174694"/>
    <w:rsid w:val="00176E71"/>
    <w:rsid w:val="00180F97"/>
    <w:rsid w:val="00182E4B"/>
    <w:rsid w:val="00184112"/>
    <w:rsid w:val="00187921"/>
    <w:rsid w:val="001919B3"/>
    <w:rsid w:val="00193220"/>
    <w:rsid w:val="001953B2"/>
    <w:rsid w:val="0019682D"/>
    <w:rsid w:val="00196963"/>
    <w:rsid w:val="001A4E38"/>
    <w:rsid w:val="001A523D"/>
    <w:rsid w:val="001A5429"/>
    <w:rsid w:val="001A548E"/>
    <w:rsid w:val="001A6C13"/>
    <w:rsid w:val="001B1295"/>
    <w:rsid w:val="001B40A5"/>
    <w:rsid w:val="001B4553"/>
    <w:rsid w:val="001B6D1C"/>
    <w:rsid w:val="001B7CE8"/>
    <w:rsid w:val="001C04A8"/>
    <w:rsid w:val="001C1678"/>
    <w:rsid w:val="001D08EA"/>
    <w:rsid w:val="001D468E"/>
    <w:rsid w:val="001E0C16"/>
    <w:rsid w:val="001E6A15"/>
    <w:rsid w:val="001E6D09"/>
    <w:rsid w:val="001E78D8"/>
    <w:rsid w:val="001F0AED"/>
    <w:rsid w:val="001F1892"/>
    <w:rsid w:val="001F2A4E"/>
    <w:rsid w:val="001F5648"/>
    <w:rsid w:val="001F64FB"/>
    <w:rsid w:val="00200452"/>
    <w:rsid w:val="0020046C"/>
    <w:rsid w:val="002013E9"/>
    <w:rsid w:val="00201E14"/>
    <w:rsid w:val="00203AC4"/>
    <w:rsid w:val="00211A2E"/>
    <w:rsid w:val="00212A97"/>
    <w:rsid w:val="00216F9B"/>
    <w:rsid w:val="002212B5"/>
    <w:rsid w:val="002246AD"/>
    <w:rsid w:val="00226B8B"/>
    <w:rsid w:val="0023341F"/>
    <w:rsid w:val="002338BB"/>
    <w:rsid w:val="0023517C"/>
    <w:rsid w:val="00235791"/>
    <w:rsid w:val="002404A3"/>
    <w:rsid w:val="00240F85"/>
    <w:rsid w:val="002424BA"/>
    <w:rsid w:val="002463DA"/>
    <w:rsid w:val="002555B9"/>
    <w:rsid w:val="0026416F"/>
    <w:rsid w:val="002753B7"/>
    <w:rsid w:val="002775A1"/>
    <w:rsid w:val="002870E7"/>
    <w:rsid w:val="002929C3"/>
    <w:rsid w:val="002A1550"/>
    <w:rsid w:val="002A18A2"/>
    <w:rsid w:val="002A3ACB"/>
    <w:rsid w:val="002A6DA5"/>
    <w:rsid w:val="002B2C49"/>
    <w:rsid w:val="002B4E12"/>
    <w:rsid w:val="002B54E3"/>
    <w:rsid w:val="002B6C62"/>
    <w:rsid w:val="002C090B"/>
    <w:rsid w:val="002C3BE6"/>
    <w:rsid w:val="002C3F78"/>
    <w:rsid w:val="002C4726"/>
    <w:rsid w:val="002D000F"/>
    <w:rsid w:val="002D38CB"/>
    <w:rsid w:val="002D4C13"/>
    <w:rsid w:val="002D627F"/>
    <w:rsid w:val="002E1652"/>
    <w:rsid w:val="002E2FCD"/>
    <w:rsid w:val="002E791D"/>
    <w:rsid w:val="002F0075"/>
    <w:rsid w:val="0030074A"/>
    <w:rsid w:val="00300B69"/>
    <w:rsid w:val="00307DCF"/>
    <w:rsid w:val="00310722"/>
    <w:rsid w:val="0031110B"/>
    <w:rsid w:val="00313408"/>
    <w:rsid w:val="00314D93"/>
    <w:rsid w:val="0032119A"/>
    <w:rsid w:val="00323DD5"/>
    <w:rsid w:val="00326473"/>
    <w:rsid w:val="0033024A"/>
    <w:rsid w:val="00330789"/>
    <w:rsid w:val="00330D6E"/>
    <w:rsid w:val="003325E0"/>
    <w:rsid w:val="003326A5"/>
    <w:rsid w:val="0033348C"/>
    <w:rsid w:val="0034111B"/>
    <w:rsid w:val="00345618"/>
    <w:rsid w:val="0035642B"/>
    <w:rsid w:val="00356FDF"/>
    <w:rsid w:val="00360DD7"/>
    <w:rsid w:val="00361AE7"/>
    <w:rsid w:val="003620B5"/>
    <w:rsid w:val="00362342"/>
    <w:rsid w:val="003641C4"/>
    <w:rsid w:val="00373628"/>
    <w:rsid w:val="00376FB9"/>
    <w:rsid w:val="0038093B"/>
    <w:rsid w:val="00381A4A"/>
    <w:rsid w:val="003871AF"/>
    <w:rsid w:val="0039110F"/>
    <w:rsid w:val="003A1A72"/>
    <w:rsid w:val="003A1FB4"/>
    <w:rsid w:val="003B02A9"/>
    <w:rsid w:val="003B302D"/>
    <w:rsid w:val="003C0B4A"/>
    <w:rsid w:val="003C3081"/>
    <w:rsid w:val="003C511E"/>
    <w:rsid w:val="003C7712"/>
    <w:rsid w:val="003D1366"/>
    <w:rsid w:val="003D1BDC"/>
    <w:rsid w:val="003D3439"/>
    <w:rsid w:val="003D3697"/>
    <w:rsid w:val="003D4C40"/>
    <w:rsid w:val="003E6793"/>
    <w:rsid w:val="003F1D5B"/>
    <w:rsid w:val="003F43E2"/>
    <w:rsid w:val="003F67E5"/>
    <w:rsid w:val="003F6F5F"/>
    <w:rsid w:val="00400488"/>
    <w:rsid w:val="0040199F"/>
    <w:rsid w:val="00404350"/>
    <w:rsid w:val="004043ED"/>
    <w:rsid w:val="00411C8C"/>
    <w:rsid w:val="0041443D"/>
    <w:rsid w:val="004158DE"/>
    <w:rsid w:val="0042000C"/>
    <w:rsid w:val="00424644"/>
    <w:rsid w:val="00425EE4"/>
    <w:rsid w:val="0043193F"/>
    <w:rsid w:val="004361F6"/>
    <w:rsid w:val="00441534"/>
    <w:rsid w:val="004612F2"/>
    <w:rsid w:val="00466EEF"/>
    <w:rsid w:val="004707B8"/>
    <w:rsid w:val="0047236B"/>
    <w:rsid w:val="00477BF4"/>
    <w:rsid w:val="004815B4"/>
    <w:rsid w:val="00486CDD"/>
    <w:rsid w:val="004876F2"/>
    <w:rsid w:val="00487B91"/>
    <w:rsid w:val="00487BBA"/>
    <w:rsid w:val="00495013"/>
    <w:rsid w:val="004A402C"/>
    <w:rsid w:val="004A5842"/>
    <w:rsid w:val="004A728A"/>
    <w:rsid w:val="004B09EB"/>
    <w:rsid w:val="004B2CBA"/>
    <w:rsid w:val="004B3413"/>
    <w:rsid w:val="004B7F40"/>
    <w:rsid w:val="004C7829"/>
    <w:rsid w:val="004D568B"/>
    <w:rsid w:val="004E0A41"/>
    <w:rsid w:val="004E770A"/>
    <w:rsid w:val="004F27E6"/>
    <w:rsid w:val="004F3A33"/>
    <w:rsid w:val="00502C2C"/>
    <w:rsid w:val="00502EE2"/>
    <w:rsid w:val="0050525E"/>
    <w:rsid w:val="005111F3"/>
    <w:rsid w:val="0051169E"/>
    <w:rsid w:val="00511E77"/>
    <w:rsid w:val="00517E3C"/>
    <w:rsid w:val="0052133A"/>
    <w:rsid w:val="00530225"/>
    <w:rsid w:val="00551221"/>
    <w:rsid w:val="00555138"/>
    <w:rsid w:val="005557B8"/>
    <w:rsid w:val="00556074"/>
    <w:rsid w:val="00561245"/>
    <w:rsid w:val="0056390C"/>
    <w:rsid w:val="00565790"/>
    <w:rsid w:val="005717CD"/>
    <w:rsid w:val="00571D60"/>
    <w:rsid w:val="00574FB8"/>
    <w:rsid w:val="005800EC"/>
    <w:rsid w:val="005819CC"/>
    <w:rsid w:val="0058697A"/>
    <w:rsid w:val="00590B3A"/>
    <w:rsid w:val="00595F82"/>
    <w:rsid w:val="00597221"/>
    <w:rsid w:val="005A7146"/>
    <w:rsid w:val="005B4719"/>
    <w:rsid w:val="005C2BC9"/>
    <w:rsid w:val="005C36C0"/>
    <w:rsid w:val="005C459A"/>
    <w:rsid w:val="005C4F9F"/>
    <w:rsid w:val="005C6F51"/>
    <w:rsid w:val="005D49BA"/>
    <w:rsid w:val="005D6BDF"/>
    <w:rsid w:val="005E5A7F"/>
    <w:rsid w:val="005E752A"/>
    <w:rsid w:val="005F09B2"/>
    <w:rsid w:val="005F4E8D"/>
    <w:rsid w:val="005F65CB"/>
    <w:rsid w:val="006017AC"/>
    <w:rsid w:val="00602024"/>
    <w:rsid w:val="00606CBB"/>
    <w:rsid w:val="00607338"/>
    <w:rsid w:val="0061356F"/>
    <w:rsid w:val="00620576"/>
    <w:rsid w:val="0062233B"/>
    <w:rsid w:val="00625FE3"/>
    <w:rsid w:val="00632A8F"/>
    <w:rsid w:val="0063498D"/>
    <w:rsid w:val="00635003"/>
    <w:rsid w:val="006351F4"/>
    <w:rsid w:val="0063733A"/>
    <w:rsid w:val="006462AC"/>
    <w:rsid w:val="00647A49"/>
    <w:rsid w:val="00651634"/>
    <w:rsid w:val="00657544"/>
    <w:rsid w:val="006659C4"/>
    <w:rsid w:val="00666DEE"/>
    <w:rsid w:val="006672E7"/>
    <w:rsid w:val="00672BF0"/>
    <w:rsid w:val="006807E1"/>
    <w:rsid w:val="00682F0B"/>
    <w:rsid w:val="006832D4"/>
    <w:rsid w:val="00684D4B"/>
    <w:rsid w:val="00692AFF"/>
    <w:rsid w:val="006947B9"/>
    <w:rsid w:val="0069765B"/>
    <w:rsid w:val="00697EF9"/>
    <w:rsid w:val="006A3DE2"/>
    <w:rsid w:val="006A4994"/>
    <w:rsid w:val="006A7D21"/>
    <w:rsid w:val="006B1961"/>
    <w:rsid w:val="006B4174"/>
    <w:rsid w:val="006D1C5E"/>
    <w:rsid w:val="006D5426"/>
    <w:rsid w:val="006D7ED3"/>
    <w:rsid w:val="006E16E9"/>
    <w:rsid w:val="006E2E0E"/>
    <w:rsid w:val="006E2F4E"/>
    <w:rsid w:val="006E6369"/>
    <w:rsid w:val="006E7A89"/>
    <w:rsid w:val="00702C76"/>
    <w:rsid w:val="00704F6F"/>
    <w:rsid w:val="007058B9"/>
    <w:rsid w:val="00705A73"/>
    <w:rsid w:val="00706620"/>
    <w:rsid w:val="0071397F"/>
    <w:rsid w:val="00721CC2"/>
    <w:rsid w:val="007229AF"/>
    <w:rsid w:val="00723DC3"/>
    <w:rsid w:val="00725702"/>
    <w:rsid w:val="00726105"/>
    <w:rsid w:val="00736B4E"/>
    <w:rsid w:val="00737420"/>
    <w:rsid w:val="007409BC"/>
    <w:rsid w:val="00740B4D"/>
    <w:rsid w:val="007415E4"/>
    <w:rsid w:val="00746960"/>
    <w:rsid w:val="00750FB4"/>
    <w:rsid w:val="00752664"/>
    <w:rsid w:val="00753772"/>
    <w:rsid w:val="00756713"/>
    <w:rsid w:val="00760E36"/>
    <w:rsid w:val="00765A95"/>
    <w:rsid w:val="00771408"/>
    <w:rsid w:val="00772C04"/>
    <w:rsid w:val="007748CD"/>
    <w:rsid w:val="007776E9"/>
    <w:rsid w:val="00777BBA"/>
    <w:rsid w:val="00780447"/>
    <w:rsid w:val="00781068"/>
    <w:rsid w:val="00781374"/>
    <w:rsid w:val="00784D7D"/>
    <w:rsid w:val="00785AA1"/>
    <w:rsid w:val="00787AA5"/>
    <w:rsid w:val="00792134"/>
    <w:rsid w:val="007940AB"/>
    <w:rsid w:val="00794F5D"/>
    <w:rsid w:val="007A3BE5"/>
    <w:rsid w:val="007A4713"/>
    <w:rsid w:val="007A56F0"/>
    <w:rsid w:val="007B5B92"/>
    <w:rsid w:val="007B70E2"/>
    <w:rsid w:val="007C1888"/>
    <w:rsid w:val="007C4656"/>
    <w:rsid w:val="007C6F18"/>
    <w:rsid w:val="007C7879"/>
    <w:rsid w:val="007D43C2"/>
    <w:rsid w:val="007D47DB"/>
    <w:rsid w:val="007E111B"/>
    <w:rsid w:val="007E141C"/>
    <w:rsid w:val="007E1D99"/>
    <w:rsid w:val="007E2430"/>
    <w:rsid w:val="007E332D"/>
    <w:rsid w:val="007E41CA"/>
    <w:rsid w:val="007E47CC"/>
    <w:rsid w:val="007E55F0"/>
    <w:rsid w:val="007E67E6"/>
    <w:rsid w:val="007F0AFC"/>
    <w:rsid w:val="007F4160"/>
    <w:rsid w:val="007F74DB"/>
    <w:rsid w:val="00802802"/>
    <w:rsid w:val="00802C65"/>
    <w:rsid w:val="00810C7E"/>
    <w:rsid w:val="0081119E"/>
    <w:rsid w:val="008119FA"/>
    <w:rsid w:val="00813027"/>
    <w:rsid w:val="008138CB"/>
    <w:rsid w:val="00820A00"/>
    <w:rsid w:val="00821B57"/>
    <w:rsid w:val="00825669"/>
    <w:rsid w:val="00832A3E"/>
    <w:rsid w:val="00833DDD"/>
    <w:rsid w:val="008363EF"/>
    <w:rsid w:val="0083752B"/>
    <w:rsid w:val="00837E02"/>
    <w:rsid w:val="008413DE"/>
    <w:rsid w:val="008443B9"/>
    <w:rsid w:val="00844543"/>
    <w:rsid w:val="00845CBF"/>
    <w:rsid w:val="008564B1"/>
    <w:rsid w:val="0085763B"/>
    <w:rsid w:val="00857787"/>
    <w:rsid w:val="008636DD"/>
    <w:rsid w:val="008663EC"/>
    <w:rsid w:val="00867281"/>
    <w:rsid w:val="00867CC1"/>
    <w:rsid w:val="00871557"/>
    <w:rsid w:val="00876BFE"/>
    <w:rsid w:val="0087737A"/>
    <w:rsid w:val="00877608"/>
    <w:rsid w:val="008778CB"/>
    <w:rsid w:val="00880891"/>
    <w:rsid w:val="0088104E"/>
    <w:rsid w:val="00883373"/>
    <w:rsid w:val="0088429A"/>
    <w:rsid w:val="00895780"/>
    <w:rsid w:val="008979C6"/>
    <w:rsid w:val="008B55B4"/>
    <w:rsid w:val="008B747A"/>
    <w:rsid w:val="008B78B9"/>
    <w:rsid w:val="008C114C"/>
    <w:rsid w:val="008C2BE9"/>
    <w:rsid w:val="008C5322"/>
    <w:rsid w:val="008C65EC"/>
    <w:rsid w:val="008C7089"/>
    <w:rsid w:val="008C73C0"/>
    <w:rsid w:val="008D07BA"/>
    <w:rsid w:val="008D287F"/>
    <w:rsid w:val="008D41D5"/>
    <w:rsid w:val="008D7386"/>
    <w:rsid w:val="008D7540"/>
    <w:rsid w:val="008E1AF8"/>
    <w:rsid w:val="008E2E6E"/>
    <w:rsid w:val="008E4B15"/>
    <w:rsid w:val="008E513F"/>
    <w:rsid w:val="008F15DB"/>
    <w:rsid w:val="008F6D6F"/>
    <w:rsid w:val="00900954"/>
    <w:rsid w:val="00900C2B"/>
    <w:rsid w:val="0090147C"/>
    <w:rsid w:val="00901866"/>
    <w:rsid w:val="00904511"/>
    <w:rsid w:val="00904BDF"/>
    <w:rsid w:val="009079BA"/>
    <w:rsid w:val="009144C6"/>
    <w:rsid w:val="00916844"/>
    <w:rsid w:val="00922397"/>
    <w:rsid w:val="00926D04"/>
    <w:rsid w:val="00930C88"/>
    <w:rsid w:val="009369DE"/>
    <w:rsid w:val="009402B3"/>
    <w:rsid w:val="009440E6"/>
    <w:rsid w:val="00944CC8"/>
    <w:rsid w:val="00955843"/>
    <w:rsid w:val="00957204"/>
    <w:rsid w:val="00961647"/>
    <w:rsid w:val="00963C3A"/>
    <w:rsid w:val="00963D5F"/>
    <w:rsid w:val="00970486"/>
    <w:rsid w:val="0097161D"/>
    <w:rsid w:val="009721CE"/>
    <w:rsid w:val="009823F4"/>
    <w:rsid w:val="0098576F"/>
    <w:rsid w:val="00987BAA"/>
    <w:rsid w:val="00993C2A"/>
    <w:rsid w:val="00993F58"/>
    <w:rsid w:val="009969D6"/>
    <w:rsid w:val="009A46FD"/>
    <w:rsid w:val="009B1C56"/>
    <w:rsid w:val="009B7BFA"/>
    <w:rsid w:val="009C5404"/>
    <w:rsid w:val="009C7123"/>
    <w:rsid w:val="009C7969"/>
    <w:rsid w:val="009C7A95"/>
    <w:rsid w:val="009D03D4"/>
    <w:rsid w:val="009D1228"/>
    <w:rsid w:val="009D2078"/>
    <w:rsid w:val="009D4E62"/>
    <w:rsid w:val="009E4720"/>
    <w:rsid w:val="009E684C"/>
    <w:rsid w:val="009F082A"/>
    <w:rsid w:val="009F1B57"/>
    <w:rsid w:val="009F443E"/>
    <w:rsid w:val="009F4FC9"/>
    <w:rsid w:val="00A012F9"/>
    <w:rsid w:val="00A03025"/>
    <w:rsid w:val="00A047C6"/>
    <w:rsid w:val="00A06370"/>
    <w:rsid w:val="00A06CC2"/>
    <w:rsid w:val="00A15D24"/>
    <w:rsid w:val="00A1662A"/>
    <w:rsid w:val="00A167D6"/>
    <w:rsid w:val="00A16CB8"/>
    <w:rsid w:val="00A21385"/>
    <w:rsid w:val="00A217CC"/>
    <w:rsid w:val="00A234B8"/>
    <w:rsid w:val="00A23C9C"/>
    <w:rsid w:val="00A25141"/>
    <w:rsid w:val="00A270CC"/>
    <w:rsid w:val="00A32D55"/>
    <w:rsid w:val="00A37C76"/>
    <w:rsid w:val="00A41E18"/>
    <w:rsid w:val="00A43228"/>
    <w:rsid w:val="00A50F95"/>
    <w:rsid w:val="00A56512"/>
    <w:rsid w:val="00A601A4"/>
    <w:rsid w:val="00A60BD9"/>
    <w:rsid w:val="00A64EBD"/>
    <w:rsid w:val="00A71007"/>
    <w:rsid w:val="00A71F97"/>
    <w:rsid w:val="00A7621C"/>
    <w:rsid w:val="00A76F58"/>
    <w:rsid w:val="00A84D4D"/>
    <w:rsid w:val="00A873C8"/>
    <w:rsid w:val="00A934D4"/>
    <w:rsid w:val="00A93569"/>
    <w:rsid w:val="00A946DE"/>
    <w:rsid w:val="00AA0281"/>
    <w:rsid w:val="00AA7361"/>
    <w:rsid w:val="00AB04F5"/>
    <w:rsid w:val="00AB132B"/>
    <w:rsid w:val="00AB1EE7"/>
    <w:rsid w:val="00AB5220"/>
    <w:rsid w:val="00AC7A2F"/>
    <w:rsid w:val="00AD7EFE"/>
    <w:rsid w:val="00AE2722"/>
    <w:rsid w:val="00AE4289"/>
    <w:rsid w:val="00AE54E7"/>
    <w:rsid w:val="00AE65E6"/>
    <w:rsid w:val="00AE680C"/>
    <w:rsid w:val="00AE7817"/>
    <w:rsid w:val="00AF2AD8"/>
    <w:rsid w:val="00B01302"/>
    <w:rsid w:val="00B022F6"/>
    <w:rsid w:val="00B03B0F"/>
    <w:rsid w:val="00B067DC"/>
    <w:rsid w:val="00B07E32"/>
    <w:rsid w:val="00B1306C"/>
    <w:rsid w:val="00B14BB5"/>
    <w:rsid w:val="00B14BC6"/>
    <w:rsid w:val="00B156FA"/>
    <w:rsid w:val="00B21F9C"/>
    <w:rsid w:val="00B22F55"/>
    <w:rsid w:val="00B33944"/>
    <w:rsid w:val="00B345F8"/>
    <w:rsid w:val="00B34D2C"/>
    <w:rsid w:val="00B36372"/>
    <w:rsid w:val="00B41527"/>
    <w:rsid w:val="00B4196C"/>
    <w:rsid w:val="00B50FA1"/>
    <w:rsid w:val="00B53AB3"/>
    <w:rsid w:val="00B60E18"/>
    <w:rsid w:val="00B61759"/>
    <w:rsid w:val="00B66599"/>
    <w:rsid w:val="00B66F27"/>
    <w:rsid w:val="00B674EA"/>
    <w:rsid w:val="00B677F7"/>
    <w:rsid w:val="00B729B9"/>
    <w:rsid w:val="00B73A93"/>
    <w:rsid w:val="00B7673E"/>
    <w:rsid w:val="00B80EBC"/>
    <w:rsid w:val="00B814D0"/>
    <w:rsid w:val="00B83342"/>
    <w:rsid w:val="00B83EC9"/>
    <w:rsid w:val="00B83F75"/>
    <w:rsid w:val="00B87FD7"/>
    <w:rsid w:val="00B907DE"/>
    <w:rsid w:val="00B95924"/>
    <w:rsid w:val="00BA300F"/>
    <w:rsid w:val="00BA7738"/>
    <w:rsid w:val="00BB351F"/>
    <w:rsid w:val="00BB3C31"/>
    <w:rsid w:val="00BB6A4D"/>
    <w:rsid w:val="00BC321E"/>
    <w:rsid w:val="00BC64F8"/>
    <w:rsid w:val="00BC7ED0"/>
    <w:rsid w:val="00BD024F"/>
    <w:rsid w:val="00BD41EB"/>
    <w:rsid w:val="00BD654D"/>
    <w:rsid w:val="00BD76DD"/>
    <w:rsid w:val="00BD7EAE"/>
    <w:rsid w:val="00BE13C6"/>
    <w:rsid w:val="00BE47E8"/>
    <w:rsid w:val="00BE6343"/>
    <w:rsid w:val="00BE6446"/>
    <w:rsid w:val="00BE69CC"/>
    <w:rsid w:val="00BE6D68"/>
    <w:rsid w:val="00BE6F8A"/>
    <w:rsid w:val="00BF462D"/>
    <w:rsid w:val="00BF4AE7"/>
    <w:rsid w:val="00BF566D"/>
    <w:rsid w:val="00BF751D"/>
    <w:rsid w:val="00C0388F"/>
    <w:rsid w:val="00C0463B"/>
    <w:rsid w:val="00C1264F"/>
    <w:rsid w:val="00C13648"/>
    <w:rsid w:val="00C210B9"/>
    <w:rsid w:val="00C222A2"/>
    <w:rsid w:val="00C22456"/>
    <w:rsid w:val="00C22D34"/>
    <w:rsid w:val="00C25B4F"/>
    <w:rsid w:val="00C264C9"/>
    <w:rsid w:val="00C321C5"/>
    <w:rsid w:val="00C32994"/>
    <w:rsid w:val="00C32D7C"/>
    <w:rsid w:val="00C40795"/>
    <w:rsid w:val="00C47194"/>
    <w:rsid w:val="00C516F3"/>
    <w:rsid w:val="00C51A07"/>
    <w:rsid w:val="00C51F3A"/>
    <w:rsid w:val="00C52289"/>
    <w:rsid w:val="00C55CC8"/>
    <w:rsid w:val="00C55DDC"/>
    <w:rsid w:val="00C6028F"/>
    <w:rsid w:val="00C629A0"/>
    <w:rsid w:val="00C65933"/>
    <w:rsid w:val="00C71DA1"/>
    <w:rsid w:val="00C73CE1"/>
    <w:rsid w:val="00C76AA0"/>
    <w:rsid w:val="00C77D6C"/>
    <w:rsid w:val="00C801E2"/>
    <w:rsid w:val="00C81E3C"/>
    <w:rsid w:val="00C84769"/>
    <w:rsid w:val="00C865E4"/>
    <w:rsid w:val="00C87BA1"/>
    <w:rsid w:val="00C90364"/>
    <w:rsid w:val="00C9403E"/>
    <w:rsid w:val="00C94818"/>
    <w:rsid w:val="00C96629"/>
    <w:rsid w:val="00C97C7D"/>
    <w:rsid w:val="00CA0830"/>
    <w:rsid w:val="00CA0D9C"/>
    <w:rsid w:val="00CA1DB0"/>
    <w:rsid w:val="00CA3CC7"/>
    <w:rsid w:val="00CA72BC"/>
    <w:rsid w:val="00CB0A6E"/>
    <w:rsid w:val="00CB0D99"/>
    <w:rsid w:val="00CB29B0"/>
    <w:rsid w:val="00CC2FBA"/>
    <w:rsid w:val="00CD1026"/>
    <w:rsid w:val="00CD2709"/>
    <w:rsid w:val="00CD5665"/>
    <w:rsid w:val="00CE1CBC"/>
    <w:rsid w:val="00CE5344"/>
    <w:rsid w:val="00CE6E03"/>
    <w:rsid w:val="00CE7773"/>
    <w:rsid w:val="00CF21FF"/>
    <w:rsid w:val="00CF542E"/>
    <w:rsid w:val="00CF6B3F"/>
    <w:rsid w:val="00CF7C8B"/>
    <w:rsid w:val="00D02238"/>
    <w:rsid w:val="00D0275D"/>
    <w:rsid w:val="00D056C0"/>
    <w:rsid w:val="00D13212"/>
    <w:rsid w:val="00D14211"/>
    <w:rsid w:val="00D15BAD"/>
    <w:rsid w:val="00D170EE"/>
    <w:rsid w:val="00D177EA"/>
    <w:rsid w:val="00D20CA6"/>
    <w:rsid w:val="00D2351F"/>
    <w:rsid w:val="00D25214"/>
    <w:rsid w:val="00D34789"/>
    <w:rsid w:val="00D35830"/>
    <w:rsid w:val="00D41991"/>
    <w:rsid w:val="00D45647"/>
    <w:rsid w:val="00D45913"/>
    <w:rsid w:val="00D50E16"/>
    <w:rsid w:val="00D53451"/>
    <w:rsid w:val="00D57B19"/>
    <w:rsid w:val="00D63D60"/>
    <w:rsid w:val="00D64BE5"/>
    <w:rsid w:val="00D64C73"/>
    <w:rsid w:val="00D715D1"/>
    <w:rsid w:val="00D761BB"/>
    <w:rsid w:val="00D775FC"/>
    <w:rsid w:val="00D84F30"/>
    <w:rsid w:val="00D867A8"/>
    <w:rsid w:val="00D87EE3"/>
    <w:rsid w:val="00D9342E"/>
    <w:rsid w:val="00D95E68"/>
    <w:rsid w:val="00DA0985"/>
    <w:rsid w:val="00DA0B23"/>
    <w:rsid w:val="00DA3ABB"/>
    <w:rsid w:val="00DB34D5"/>
    <w:rsid w:val="00DB5B84"/>
    <w:rsid w:val="00DB62EF"/>
    <w:rsid w:val="00DB7644"/>
    <w:rsid w:val="00DC326A"/>
    <w:rsid w:val="00DC3509"/>
    <w:rsid w:val="00DC587A"/>
    <w:rsid w:val="00DC6858"/>
    <w:rsid w:val="00DD0B7E"/>
    <w:rsid w:val="00DD4B37"/>
    <w:rsid w:val="00DD74AE"/>
    <w:rsid w:val="00DE27C3"/>
    <w:rsid w:val="00DE3478"/>
    <w:rsid w:val="00DF103B"/>
    <w:rsid w:val="00DF134B"/>
    <w:rsid w:val="00DF2B33"/>
    <w:rsid w:val="00DF68BA"/>
    <w:rsid w:val="00E0068A"/>
    <w:rsid w:val="00E02E5E"/>
    <w:rsid w:val="00E03884"/>
    <w:rsid w:val="00E10181"/>
    <w:rsid w:val="00E11835"/>
    <w:rsid w:val="00E1473F"/>
    <w:rsid w:val="00E150A1"/>
    <w:rsid w:val="00E1584D"/>
    <w:rsid w:val="00E20BC4"/>
    <w:rsid w:val="00E20CCF"/>
    <w:rsid w:val="00E21828"/>
    <w:rsid w:val="00E35EDB"/>
    <w:rsid w:val="00E426D3"/>
    <w:rsid w:val="00E42C25"/>
    <w:rsid w:val="00E457D2"/>
    <w:rsid w:val="00E47F2F"/>
    <w:rsid w:val="00E52DEB"/>
    <w:rsid w:val="00E53B1F"/>
    <w:rsid w:val="00E53F23"/>
    <w:rsid w:val="00E60C45"/>
    <w:rsid w:val="00E619F9"/>
    <w:rsid w:val="00E63698"/>
    <w:rsid w:val="00E642FC"/>
    <w:rsid w:val="00E6772D"/>
    <w:rsid w:val="00E75C3E"/>
    <w:rsid w:val="00E82403"/>
    <w:rsid w:val="00E86175"/>
    <w:rsid w:val="00E874A6"/>
    <w:rsid w:val="00E87DE8"/>
    <w:rsid w:val="00E90B5A"/>
    <w:rsid w:val="00E91C56"/>
    <w:rsid w:val="00E96329"/>
    <w:rsid w:val="00E97A1D"/>
    <w:rsid w:val="00EA1B71"/>
    <w:rsid w:val="00EA4665"/>
    <w:rsid w:val="00EA49BB"/>
    <w:rsid w:val="00EB17EE"/>
    <w:rsid w:val="00EB53B4"/>
    <w:rsid w:val="00EB7248"/>
    <w:rsid w:val="00EC0822"/>
    <w:rsid w:val="00EC1F95"/>
    <w:rsid w:val="00EC6665"/>
    <w:rsid w:val="00ED4E5B"/>
    <w:rsid w:val="00ED4FF6"/>
    <w:rsid w:val="00EF12DC"/>
    <w:rsid w:val="00EF2E46"/>
    <w:rsid w:val="00F018A1"/>
    <w:rsid w:val="00F05A64"/>
    <w:rsid w:val="00F05D33"/>
    <w:rsid w:val="00F07E81"/>
    <w:rsid w:val="00F10178"/>
    <w:rsid w:val="00F10951"/>
    <w:rsid w:val="00F10E9E"/>
    <w:rsid w:val="00F12E54"/>
    <w:rsid w:val="00F13B70"/>
    <w:rsid w:val="00F1460F"/>
    <w:rsid w:val="00F31849"/>
    <w:rsid w:val="00F31A56"/>
    <w:rsid w:val="00F37A41"/>
    <w:rsid w:val="00F40631"/>
    <w:rsid w:val="00F41CF5"/>
    <w:rsid w:val="00F41F0F"/>
    <w:rsid w:val="00F47558"/>
    <w:rsid w:val="00F5227A"/>
    <w:rsid w:val="00F523AB"/>
    <w:rsid w:val="00F55AFC"/>
    <w:rsid w:val="00F55DBE"/>
    <w:rsid w:val="00F571CE"/>
    <w:rsid w:val="00F62A73"/>
    <w:rsid w:val="00F64F11"/>
    <w:rsid w:val="00F67264"/>
    <w:rsid w:val="00F74B4F"/>
    <w:rsid w:val="00F81465"/>
    <w:rsid w:val="00F87640"/>
    <w:rsid w:val="00F9065D"/>
    <w:rsid w:val="00F90958"/>
    <w:rsid w:val="00F90D04"/>
    <w:rsid w:val="00F92A11"/>
    <w:rsid w:val="00F964F2"/>
    <w:rsid w:val="00FA6DCE"/>
    <w:rsid w:val="00FA74A8"/>
    <w:rsid w:val="00FB1415"/>
    <w:rsid w:val="00FB2931"/>
    <w:rsid w:val="00FB7E47"/>
    <w:rsid w:val="00FC17BB"/>
    <w:rsid w:val="00FC736D"/>
    <w:rsid w:val="00FD6E7B"/>
    <w:rsid w:val="00FE0926"/>
    <w:rsid w:val="00FE24BC"/>
    <w:rsid w:val="00FF139E"/>
    <w:rsid w:val="00FF1BDE"/>
    <w:rsid w:val="00FF27BA"/>
    <w:rsid w:val="00FF3679"/>
    <w:rsid w:val="00FF3F08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F1F5229-462C-4EBE-9CC3-4A13916C2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09B2"/>
    <w:pPr>
      <w:ind w:left="720"/>
      <w:contextualSpacing/>
    </w:pPr>
  </w:style>
  <w:style w:type="table" w:styleId="Tablaconcuadrcula">
    <w:name w:val="Table Grid"/>
    <w:basedOn w:val="Tablanormal"/>
    <w:uiPriority w:val="39"/>
    <w:rsid w:val="0033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7409BC"/>
    <w:rPr>
      <w:b/>
      <w:bCs/>
    </w:rPr>
  </w:style>
  <w:style w:type="paragraph" w:styleId="Encabezado">
    <w:name w:val="header"/>
    <w:basedOn w:val="Normal"/>
    <w:link w:val="EncabezadoCar"/>
    <w:rsid w:val="00BB3C31"/>
    <w:pPr>
      <w:tabs>
        <w:tab w:val="center" w:pos="4252"/>
        <w:tab w:val="right" w:pos="8504"/>
      </w:tabs>
      <w:spacing w:after="0" w:line="240" w:lineRule="auto"/>
    </w:pPr>
    <w:rPr>
      <w:rFonts w:eastAsia="Times New Roman" w:cs="Times New Roman"/>
      <w:sz w:val="24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BB3C31"/>
    <w:rPr>
      <w:rFonts w:eastAsia="Times New Roman" w:cs="Times New Roman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7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F40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D235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10.1.1.50\Orion\shares\Atenci&#243;n%20al%20Usuario\satisfaccion%20del%20usuario\A&#209;O%202020\INDICADORES%20ENCUESTAS%20MENSUALES%202020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es-CO"/>
              <a:t> PQRDSF SEGUNDO SEMESTRE 2020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2000" b="0" i="0" u="none" strike="noStrike" kern="1200" cap="none" spc="0" normalizeH="0" baseline="0">
              <a:ln>
                <a:noFill/>
              </a:ln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es-C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ln>
                      <a:noFill/>
                    </a:ln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Hoja1!$A$2:$A$6</c:f>
              <c:strCache>
                <c:ptCount val="5"/>
                <c:pt idx="0">
                  <c:v>Felicitaciones</c:v>
                </c:pt>
                <c:pt idx="1">
                  <c:v>Peticiones</c:v>
                </c:pt>
                <c:pt idx="2">
                  <c:v>Reclamos</c:v>
                </c:pt>
                <c:pt idx="3">
                  <c:v>Quejas</c:v>
                </c:pt>
                <c:pt idx="4">
                  <c:v>Sugerencias</c:v>
                </c:pt>
              </c:strCache>
            </c:strRef>
          </c:cat>
          <c:val>
            <c:numRef>
              <c:f>Hoja1!$B$2:$B$6</c:f>
              <c:numCache>
                <c:formatCode>General</c:formatCode>
                <c:ptCount val="5"/>
                <c:pt idx="0">
                  <c:v>11</c:v>
                </c:pt>
                <c:pt idx="1">
                  <c:v>33</c:v>
                </c:pt>
                <c:pt idx="2">
                  <c:v>10</c:v>
                </c:pt>
                <c:pt idx="3">
                  <c:v>8</c:v>
                </c:pt>
                <c:pt idx="4">
                  <c:v>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69"/>
        <c:overlap val="-48"/>
        <c:axId val="420472640"/>
        <c:axId val="206854656"/>
      </c:barChart>
      <c:catAx>
        <c:axId val="42047264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206854656"/>
        <c:crosses val="autoZero"/>
        <c:auto val="1"/>
        <c:lblAlgn val="ctr"/>
        <c:lblOffset val="100"/>
        <c:noMultiLvlLbl val="0"/>
      </c:catAx>
      <c:valAx>
        <c:axId val="206854656"/>
        <c:scaling>
          <c:orientation val="minMax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204726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9050" cap="flat" cmpd="sng" algn="ctr">
      <a:solidFill>
        <a:schemeClr val="tx1"/>
      </a:solidFill>
      <a:round/>
    </a:ln>
    <a:effectLst/>
  </c:spPr>
  <c:txPr>
    <a:bodyPr/>
    <a:lstStyle/>
    <a:p>
      <a:pPr>
        <a:defRPr>
          <a:ln>
            <a:noFill/>
          </a:ln>
        </a:defRPr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s-CO">
                <a:solidFill>
                  <a:schemeClr val="tx1"/>
                </a:solidFill>
              </a:rPr>
              <a:t>Oportunidad en la Respuesta - Primer</a:t>
            </a:r>
            <a:r>
              <a:rPr lang="es-CO" baseline="0">
                <a:solidFill>
                  <a:schemeClr val="tx1"/>
                </a:solidFill>
              </a:rPr>
              <a:t> Semestre 2020</a:t>
            </a:r>
            <a:endParaRPr lang="es-CO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Serie 1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chemeClr val="accent1">
                  <a:lumMod val="75000"/>
                </a:schemeClr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/>
                </a:solidFill>
              </a:ln>
              <a:effectLst/>
            </c:spPr>
          </c:dPt>
          <c:cat>
            <c:strRef>
              <c:f>Hoja1!$A$2:$A$5</c:f>
              <c:strCache>
                <c:ptCount val="3"/>
                <c:pt idx="0">
                  <c:v>67  Dentro del Termino</c:v>
                </c:pt>
                <c:pt idx="1">
                  <c:v>0 Extemporanea</c:v>
                </c:pt>
                <c:pt idx="2">
                  <c:v>0  Abiertas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67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AF-4BC0-8DC3-9B2CA135ABA8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Columna1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67  Dentro del Termino</c:v>
                </c:pt>
                <c:pt idx="1">
                  <c:v>0 Extemporanea</c:v>
                </c:pt>
                <c:pt idx="2">
                  <c:v>0  Abiertas</c:v>
                </c:pt>
              </c:strCache>
            </c:strRef>
          </c:cat>
          <c:val>
            <c:numRef>
              <c:f>Hoja1!$C$2:$C$5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2AF-4BC0-8DC3-9B2CA135ABA8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Columna2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Hoja1!$A$2:$A$5</c:f>
              <c:strCache>
                <c:ptCount val="3"/>
                <c:pt idx="0">
                  <c:v>67  Dentro del Termino</c:v>
                </c:pt>
                <c:pt idx="1">
                  <c:v>0 Extemporanea</c:v>
                </c:pt>
                <c:pt idx="2">
                  <c:v>0  Abiertas</c:v>
                </c:pt>
              </c:strCache>
            </c:strRef>
          </c:cat>
          <c:val>
            <c:numRef>
              <c:f>Hoja1!$D$2:$D$5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2AF-4BC0-8DC3-9B2CA135AB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20458696"/>
        <c:axId val="420457128"/>
      </c:barChart>
      <c:catAx>
        <c:axId val="4204586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20457128"/>
        <c:crosses val="autoZero"/>
        <c:auto val="1"/>
        <c:lblAlgn val="ctr"/>
        <c:lblOffset val="100"/>
        <c:noMultiLvlLbl val="0"/>
      </c:catAx>
      <c:valAx>
        <c:axId val="420457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420458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12700" cap="flat" cmpd="sng" algn="ctr">
      <a:solidFill>
        <a:schemeClr val="tx1"/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s-ES" sz="1200"/>
              <a:t>Tendencia de Satisfaccion Consulta Externa  2020</a:t>
            </a:r>
          </a:p>
        </c:rich>
      </c:tx>
      <c:layout>
        <c:manualLayout>
          <c:xMode val="edge"/>
          <c:yMode val="edge"/>
          <c:x val="0.1512283667854771"/>
          <c:y val="4.661710894660138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7108676550973298"/>
          <c:y val="0.26619782547154974"/>
          <c:w val="0.72296803494515105"/>
          <c:h val="0.35634234764353001"/>
        </c:manualLayout>
      </c:layout>
      <c:lineChart>
        <c:grouping val="standard"/>
        <c:varyColors val="0"/>
        <c:ser>
          <c:idx val="0"/>
          <c:order val="0"/>
          <c:tx>
            <c:v>TENDENCIA DE SATISFACCIÓN</c:v>
          </c:tx>
          <c:marker>
            <c:symbol val="none"/>
          </c:marker>
          <c:cat>
            <c:strRef>
              <c:f>'[INDICADORES ENCUESTAS MENSUALES 2020.xlsx]CONSULTA EXTERNA'!$C$4:$N$4</c:f>
              <c:strCache>
                <c:ptCount val="6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  <c:pt idx="3">
                  <c:v>Octubre</c:v>
                </c:pt>
                <c:pt idx="4">
                  <c:v>Noviembre</c:v>
                </c:pt>
                <c:pt idx="5">
                  <c:v>Diciembre</c:v>
                </c:pt>
              </c:strCache>
            </c:strRef>
          </c:cat>
          <c:val>
            <c:numRef>
              <c:f>'[INDICADORES ENCUESTAS MENSUALES 2020.xlsx]CONSULTA EXTERNA'!$C$15:$N$15</c:f>
              <c:numCache>
                <c:formatCode>0.00%</c:formatCode>
                <c:ptCount val="6"/>
                <c:pt idx="0">
                  <c:v>0.97943333333333327</c:v>
                </c:pt>
                <c:pt idx="1">
                  <c:v>0.98291111111111107</c:v>
                </c:pt>
                <c:pt idx="2">
                  <c:v>0.98611111111111116</c:v>
                </c:pt>
                <c:pt idx="3">
                  <c:v>0.99555555555555564</c:v>
                </c:pt>
                <c:pt idx="4">
                  <c:v>0.99536666666666662</c:v>
                </c:pt>
                <c:pt idx="5">
                  <c:v>0.99536666666666662</c:v>
                </c:pt>
              </c:numCache>
            </c:numRef>
          </c:val>
          <c:smooth val="0"/>
        </c:ser>
        <c:ser>
          <c:idx val="1"/>
          <c:order val="1"/>
          <c:tx>
            <c:v>ESTÁNDAR</c:v>
          </c:tx>
          <c:marker>
            <c:symbol val="none"/>
          </c:marker>
          <c:cat>
            <c:strRef>
              <c:f>'[INDICADORES ENCUESTAS MENSUALES 2020.xlsx]CONSULTA EXTERNA'!$C$4:$N$4</c:f>
              <c:strCache>
                <c:ptCount val="6"/>
                <c:pt idx="0">
                  <c:v>Julio</c:v>
                </c:pt>
                <c:pt idx="1">
                  <c:v>Agosto</c:v>
                </c:pt>
                <c:pt idx="2">
                  <c:v>Septiembre</c:v>
                </c:pt>
                <c:pt idx="3">
                  <c:v>Octubre</c:v>
                </c:pt>
                <c:pt idx="4">
                  <c:v>Noviembre</c:v>
                </c:pt>
                <c:pt idx="5">
                  <c:v>Diciembre</c:v>
                </c:pt>
              </c:strCache>
            </c:strRef>
          </c:cat>
          <c:val>
            <c:numRef>
              <c:f>'[INDICADORES ENCUESTAS MENSUALES 2020.xlsx]CONSULTA EXTERNA'!$C$16:$N$16</c:f>
              <c:numCache>
                <c:formatCode>0.00%</c:formatCode>
                <c:ptCount val="6"/>
                <c:pt idx="0">
                  <c:v>0.95</c:v>
                </c:pt>
                <c:pt idx="1">
                  <c:v>0.95</c:v>
                </c:pt>
                <c:pt idx="2">
                  <c:v>0.95</c:v>
                </c:pt>
                <c:pt idx="3">
                  <c:v>0.95</c:v>
                </c:pt>
                <c:pt idx="4">
                  <c:v>0.95</c:v>
                </c:pt>
                <c:pt idx="5">
                  <c:v>0.95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420507560"/>
        <c:axId val="420507952"/>
      </c:lineChart>
      <c:catAx>
        <c:axId val="4205075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20507952"/>
        <c:crosses val="autoZero"/>
        <c:auto val="1"/>
        <c:lblAlgn val="ctr"/>
        <c:lblOffset val="100"/>
        <c:noMultiLvlLbl val="0"/>
      </c:catAx>
      <c:valAx>
        <c:axId val="420507952"/>
        <c:scaling>
          <c:orientation val="minMax"/>
          <c:max val="1"/>
          <c:min val="0.8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420507560"/>
        <c:crosses val="autoZero"/>
        <c:crossBetween val="between"/>
        <c:majorUnit val="5.000000000000001E-2"/>
        <c:minorUnit val="1.0000000000000002E-2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100" baseline="0">
          <a:latin typeface="Arial Narrow" panose="020B0606020202030204" pitchFamily="34" charset="0"/>
        </a:defRPr>
      </a:pPr>
      <a:endParaRPr lang="es-CO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6DE4D-3476-470B-88B6-B58ECCC3F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1071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Julián Andrés Agudelo Valenci</dc:creator>
  <cp:keywords/>
  <dc:description/>
  <cp:lastModifiedBy>Usuario 42</cp:lastModifiedBy>
  <cp:revision>13</cp:revision>
  <cp:lastPrinted>2021-01-21T16:55:00Z</cp:lastPrinted>
  <dcterms:created xsi:type="dcterms:W3CDTF">2021-01-21T15:44:00Z</dcterms:created>
  <dcterms:modified xsi:type="dcterms:W3CDTF">2021-01-21T19:06:00Z</dcterms:modified>
</cp:coreProperties>
</file>